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D71" w:rsidRPr="00735D71" w:rsidRDefault="00735D71" w:rsidP="00735D71">
      <w:pPr>
        <w:spacing w:before="360" w:after="240" w:line="240" w:lineRule="auto"/>
        <w:outlineLvl w:val="1"/>
        <w:rPr>
          <w:rFonts w:ascii="Arial" w:eastAsia="Times New Roman" w:hAnsi="Arial" w:cs="Arial"/>
          <w:b/>
          <w:bCs/>
          <w:color w:val="333333"/>
          <w:sz w:val="24"/>
          <w:szCs w:val="24"/>
          <w:lang w:eastAsia="ru-RU"/>
        </w:rPr>
      </w:pPr>
      <w:r w:rsidRPr="00735D71">
        <w:rPr>
          <w:rFonts w:ascii="Arial" w:eastAsia="Times New Roman" w:hAnsi="Arial" w:cs="Arial"/>
          <w:b/>
          <w:bCs/>
          <w:color w:val="333333"/>
          <w:sz w:val="24"/>
          <w:szCs w:val="24"/>
          <w:lang w:eastAsia="ru-RU"/>
        </w:rPr>
        <w:t>Конвенция об оценке воздействия на окружающую среду в трансграничном контексте</w:t>
      </w:r>
    </w:p>
    <w:p w:rsidR="00735D71" w:rsidRPr="00735D71" w:rsidRDefault="00735D71" w:rsidP="00735D71">
      <w:pPr>
        <w:pBdr>
          <w:bottom w:val="dotted" w:sz="6" w:space="8" w:color="003399"/>
        </w:pBdr>
        <w:spacing w:after="450" w:line="240" w:lineRule="auto"/>
        <w:jc w:val="both"/>
        <w:rPr>
          <w:rFonts w:ascii="Arial" w:eastAsia="Times New Roman" w:hAnsi="Arial" w:cs="Arial"/>
          <w:i/>
          <w:iCs/>
          <w:color w:val="333333"/>
          <w:sz w:val="20"/>
          <w:szCs w:val="20"/>
          <w:lang w:eastAsia="ru-RU"/>
        </w:rPr>
      </w:pPr>
      <w:r w:rsidRPr="00735D71">
        <w:rPr>
          <w:rFonts w:ascii="Arial" w:eastAsia="Times New Roman" w:hAnsi="Arial" w:cs="Arial"/>
          <w:i/>
          <w:iCs/>
          <w:color w:val="333333"/>
          <w:sz w:val="20"/>
          <w:szCs w:val="20"/>
          <w:lang w:eastAsia="ru-RU"/>
        </w:rPr>
        <w:t>Принята 25 февраля 1991 года</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Стороны настоящей Конвенции</w:t>
      </w:r>
      <w:r w:rsidRPr="00735D71">
        <w:rPr>
          <w:rFonts w:ascii="Arial" w:eastAsia="Times New Roman" w:hAnsi="Arial" w:cs="Arial"/>
          <w:color w:val="333333"/>
          <w:sz w:val="20"/>
          <w:szCs w:val="20"/>
          <w:lang w:eastAsia="ru-RU"/>
        </w:rPr>
        <w:t>,</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учитывая</w:t>
      </w:r>
      <w:r w:rsidRPr="00735D71">
        <w:rPr>
          <w:rFonts w:ascii="Arial" w:eastAsia="Times New Roman" w:hAnsi="Arial" w:cs="Arial"/>
          <w:color w:val="333333"/>
          <w:sz w:val="20"/>
          <w:szCs w:val="20"/>
          <w:lang w:eastAsia="ru-RU"/>
        </w:rPr>
        <w:t> взаимосвязь между различными видами экономической деятельности и их экологическими последствиями,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подтверждая</w:t>
      </w:r>
      <w:r w:rsidRPr="00735D71">
        <w:rPr>
          <w:rFonts w:ascii="Arial" w:eastAsia="Times New Roman" w:hAnsi="Arial" w:cs="Arial"/>
          <w:color w:val="333333"/>
          <w:sz w:val="20"/>
          <w:szCs w:val="20"/>
          <w:lang w:eastAsia="ru-RU"/>
        </w:rPr>
        <w:t> необходимость обеспечить экологически обоснованное и устойчивое развитие,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имея твердое намерение</w:t>
      </w:r>
      <w:r w:rsidRPr="00735D71">
        <w:rPr>
          <w:rFonts w:ascii="Arial" w:eastAsia="Times New Roman" w:hAnsi="Arial" w:cs="Arial"/>
          <w:color w:val="333333"/>
          <w:sz w:val="20"/>
          <w:szCs w:val="20"/>
          <w:lang w:eastAsia="ru-RU"/>
        </w:rPr>
        <w:t> развивать международное сотрудничество в области оценки воздействия на окружающую среду, в частности в трансграничном контексте,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принимая во внимание</w:t>
      </w:r>
      <w:r w:rsidRPr="00735D71">
        <w:rPr>
          <w:rFonts w:ascii="Arial" w:eastAsia="Times New Roman" w:hAnsi="Arial" w:cs="Arial"/>
          <w:color w:val="333333"/>
          <w:sz w:val="20"/>
          <w:szCs w:val="20"/>
          <w:lang w:eastAsia="ru-RU"/>
        </w:rPr>
        <w:t> необходимость и важное значение разработки упреждающей политики и предотвращения, уменьшения и мониторинга значительных вредных видов воздействий на окружающую среду в целом, и в частности в трансграничном контексте,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ссылаясь</w:t>
      </w:r>
      <w:r w:rsidRPr="00735D71">
        <w:rPr>
          <w:rFonts w:ascii="Arial" w:eastAsia="Times New Roman" w:hAnsi="Arial" w:cs="Arial"/>
          <w:color w:val="333333"/>
          <w:sz w:val="20"/>
          <w:szCs w:val="20"/>
          <w:lang w:eastAsia="ru-RU"/>
        </w:rPr>
        <w:t> на соответствующие положения </w:t>
      </w:r>
      <w:hyperlink r:id="rId5" w:history="1">
        <w:r w:rsidRPr="00735D71">
          <w:rPr>
            <w:rFonts w:ascii="Arial" w:eastAsia="Times New Roman" w:hAnsi="Arial" w:cs="Arial"/>
            <w:color w:val="333333"/>
            <w:sz w:val="20"/>
            <w:szCs w:val="20"/>
            <w:u w:val="single"/>
            <w:lang w:eastAsia="ru-RU"/>
          </w:rPr>
          <w:t>Устава Организации Объединенных Наций</w:t>
        </w:r>
      </w:hyperlink>
      <w:r w:rsidRPr="00735D71">
        <w:rPr>
          <w:rFonts w:ascii="Arial" w:eastAsia="Times New Roman" w:hAnsi="Arial" w:cs="Arial"/>
          <w:color w:val="333333"/>
          <w:sz w:val="20"/>
          <w:szCs w:val="20"/>
          <w:lang w:eastAsia="ru-RU"/>
        </w:rPr>
        <w:t>, </w:t>
      </w:r>
      <w:hyperlink r:id="rId6" w:history="1">
        <w:r w:rsidRPr="00735D71">
          <w:rPr>
            <w:rFonts w:ascii="Arial" w:eastAsia="Times New Roman" w:hAnsi="Arial" w:cs="Arial"/>
            <w:color w:val="333333"/>
            <w:sz w:val="20"/>
            <w:szCs w:val="20"/>
            <w:u w:val="single"/>
            <w:lang w:eastAsia="ru-RU"/>
          </w:rPr>
          <w:t>Декларации Стокгольмской конференции по проблемам окружающей человека среды</w:t>
        </w:r>
      </w:hyperlink>
      <w:r w:rsidRPr="00735D71">
        <w:rPr>
          <w:rFonts w:ascii="Arial" w:eastAsia="Times New Roman" w:hAnsi="Arial" w:cs="Arial"/>
          <w:color w:val="333333"/>
          <w:sz w:val="20"/>
          <w:szCs w:val="20"/>
          <w:lang w:eastAsia="ru-RU"/>
        </w:rPr>
        <w:t>, Заключительного акта Совещания по безопасности и сотрудничеству в Европе (СБСЕ) и Итоговых документов Мадридской и Венской встреч представителей государств — участников СБСЕ,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высоко оценивая</w:t>
      </w:r>
      <w:r w:rsidRPr="00735D71">
        <w:rPr>
          <w:rFonts w:ascii="Arial" w:eastAsia="Times New Roman" w:hAnsi="Arial" w:cs="Arial"/>
          <w:color w:val="333333"/>
          <w:sz w:val="20"/>
          <w:szCs w:val="20"/>
          <w:lang w:eastAsia="ru-RU"/>
        </w:rPr>
        <w:t> осуществляемые государствами мероприятия с целью обеспечить проведение оценки воздействия на окружающую среду на основе их национальных правовых и административных положений и их национальной политики,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отдавая себе отчет</w:t>
      </w:r>
      <w:r w:rsidRPr="00735D71">
        <w:rPr>
          <w:rFonts w:ascii="Arial" w:eastAsia="Times New Roman" w:hAnsi="Arial" w:cs="Arial"/>
          <w:color w:val="333333"/>
          <w:sz w:val="20"/>
          <w:szCs w:val="20"/>
          <w:lang w:eastAsia="ru-RU"/>
        </w:rPr>
        <w:t> в необходимости уделять пристальное внимание экологическим факторам на раннем этапе процесса принятия решений, применяя оценку воздействия на окружающую среду на всех надлежащих административных уровнях в качестве необходимого инструмента повышения качества информации, представляемой директивным органам, с тем чтобы они могли принимать экологически обоснованные решения, особо учитывающие необходимость свести к минимуму значительное вредное воздействие, в частности в трансграничном контексте,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принимая во внимание</w:t>
      </w:r>
      <w:r w:rsidRPr="00735D71">
        <w:rPr>
          <w:rFonts w:ascii="Arial" w:eastAsia="Times New Roman" w:hAnsi="Arial" w:cs="Arial"/>
          <w:color w:val="333333"/>
          <w:sz w:val="20"/>
          <w:szCs w:val="20"/>
          <w:lang w:eastAsia="ru-RU"/>
        </w:rPr>
        <w:t> усилия международных организаций, направленные на поощрение использования оценки воздействия на окружающую среду как на национальном, так и на международном уровнях, и учитывая работу в области оценки воздействия на окружающую среду, проводимую под эгидой </w:t>
      </w:r>
      <w:hyperlink r:id="rId7" w:history="1">
        <w:r w:rsidRPr="00735D71">
          <w:rPr>
            <w:rFonts w:ascii="Arial" w:eastAsia="Times New Roman" w:hAnsi="Arial" w:cs="Arial"/>
            <w:color w:val="333333"/>
            <w:sz w:val="20"/>
            <w:szCs w:val="20"/>
            <w:u w:val="single"/>
            <w:lang w:eastAsia="ru-RU"/>
          </w:rPr>
          <w:t>Европейской экономической комиссии Организации Объединенных Наций</w:t>
        </w:r>
      </w:hyperlink>
      <w:r w:rsidRPr="00735D71">
        <w:rPr>
          <w:rFonts w:ascii="Arial" w:eastAsia="Times New Roman" w:hAnsi="Arial" w:cs="Arial"/>
          <w:color w:val="333333"/>
          <w:sz w:val="20"/>
          <w:szCs w:val="20"/>
          <w:lang w:eastAsia="ru-RU"/>
        </w:rPr>
        <w:t>, в частности результаты работы Семинара по оценке воздействия на окружающую среду (сентябрь 1987 года, Варшава, Польша), а также отмечая Цели и принципы оценки воздействия на окружающую среду, принятые Советом управляющих </w:t>
      </w:r>
      <w:hyperlink r:id="rId8" w:history="1">
        <w:r w:rsidRPr="00735D71">
          <w:rPr>
            <w:rFonts w:ascii="Arial" w:eastAsia="Times New Roman" w:hAnsi="Arial" w:cs="Arial"/>
            <w:color w:val="333333"/>
            <w:sz w:val="20"/>
            <w:szCs w:val="20"/>
            <w:u w:val="single"/>
            <w:lang w:eastAsia="ru-RU"/>
          </w:rPr>
          <w:t>Программы Организации Объединенных Наций по окружающей среде</w:t>
        </w:r>
      </w:hyperlink>
      <w:r w:rsidRPr="00735D71">
        <w:rPr>
          <w:rFonts w:ascii="Arial" w:eastAsia="Times New Roman" w:hAnsi="Arial" w:cs="Arial"/>
          <w:color w:val="333333"/>
          <w:sz w:val="20"/>
          <w:szCs w:val="20"/>
          <w:lang w:eastAsia="ru-RU"/>
        </w:rPr>
        <w:t>, и Министерскую декларацию по устойчивому развитию (май 1990 года, Берген, Норвегия),</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договорились</w:t>
      </w:r>
      <w:r w:rsidRPr="00735D71">
        <w:rPr>
          <w:rFonts w:ascii="Arial" w:eastAsia="Times New Roman" w:hAnsi="Arial" w:cs="Arial"/>
          <w:color w:val="333333"/>
          <w:sz w:val="20"/>
          <w:szCs w:val="20"/>
          <w:lang w:eastAsia="ru-RU"/>
        </w:rPr>
        <w:t> о следующем:</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1</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Определения</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Для целей настоящей Конвенции: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i) «Стороны», если в тексте не содержится иного указания, означает Договаривающиеся Стороны настоящей Конвенции;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ii) «Сторона происхождения» означает Договаривающуюся(иеся) Сторону(ы) настоящей Конвенции, под юрисдикцией которой(ых) намечается осуществлять планируемую деятельность;</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lastRenderedPageBreak/>
        <w:t>iii) «затрагиваемая Сторона» означает Договаривающуюся(иеся) Сторону(ы) настоящей Конвенции, которая(ые) может (могут) быть затронута(ы) трансграничным воздействием планируемой деятельности;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iv) «заинтересованные Стороны» принимаются как Сторона происхождения и затрагиваемая Сторона, участвующие в применении методов оценки воздействия на окружающую среду в соответствии с настоящей Конвенцией;</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v) «планируемая деятельность» понимается как любая деятельность или любое существенное изменение в той или иной деятельности, требующее принятия решения компетентным органом в соответствии с применимой национальной процедурой;</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vi) «оценка воздействия на окружающую среду» означает национальную процедуру оценки возможного воздействия планируемой деятельности на окружающую среду;</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vii) «воздействие» означает любые последствия планируемой деятельности для окружающей среды, включая здоровье и безопасность людей, флору, фауну, почву, воздух, воду, климат, ландшафт, исторические памятники и другие материальные объекты или взаимосвязь между этими факторами; оно охватывает также последствия для культурного наследия или социально-экономических условий, являющихся результатом изменения этих факторов;</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viii) «трансграничное воздействие» означает любое воздействие, не только глобального характера, в районе, находящемся под юрисдикцией той или иной Стороны, вызываемое планируемой деятельностью, физический источник которой расположен полностью или частично в пределах района, подпадающего под юрисдикцию другой Стороны;</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ix) «компетентный орган» означает национальный орган или органы, назначаемые той или иной Стороной в качестве ответственных за выполнение функций, охватываемых настоящей Конвенцией, и/или орган или органы, на которые та или иная Сторона возлагает полномочия по принятию решений, касающихся планируемой деятельности;</w:t>
      </w:r>
    </w:p>
    <w:p w:rsidR="00735D71" w:rsidRPr="00735D71" w:rsidRDefault="00735D71" w:rsidP="00735D71">
      <w:pPr>
        <w:spacing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x) «общественность» означает одно или несколько физических или юридических лиц.</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2</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Общие положения</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 Стороны на индивидуальной или коллективной основе принимают все надлежащие и эффективные меры по предотвращению значительного вредного трансграничного воздействия в результате планируемой деятельности, а также по его уменьшению и контролю за ним.</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2. Каждая Сторона принимает необходимые законодательные, административные или другие меры для осуществления положений настоящей Конвенции, включая, в отношении планируемых видов деятельности, перечисленных в </w:t>
      </w:r>
      <w:hyperlink r:id="rId9" w:anchor="a1" w:history="1">
        <w:r w:rsidRPr="00735D71">
          <w:rPr>
            <w:rFonts w:ascii="Arial" w:eastAsia="Times New Roman" w:hAnsi="Arial" w:cs="Arial"/>
            <w:color w:val="333333"/>
            <w:sz w:val="20"/>
            <w:szCs w:val="20"/>
            <w:u w:val="single"/>
            <w:lang w:eastAsia="ru-RU"/>
          </w:rPr>
          <w:t>Добавлении I</w:t>
        </w:r>
      </w:hyperlink>
      <w:r w:rsidRPr="00735D71">
        <w:rPr>
          <w:rFonts w:ascii="Arial" w:eastAsia="Times New Roman" w:hAnsi="Arial" w:cs="Arial"/>
          <w:color w:val="333333"/>
          <w:sz w:val="20"/>
          <w:szCs w:val="20"/>
          <w:lang w:eastAsia="ru-RU"/>
        </w:rPr>
        <w:t>, которые могут оказывать значительное вредное трансграничное воздействие, установление процедуры оценки воздействия на окружающую среду, создающей возможность для участия общественности, и подготовку документации об оценке воздействия на окружающую среду, описанной в </w:t>
      </w:r>
      <w:hyperlink r:id="rId10" w:anchor="a2" w:history="1">
        <w:r w:rsidRPr="00735D71">
          <w:rPr>
            <w:rFonts w:ascii="Arial" w:eastAsia="Times New Roman" w:hAnsi="Arial" w:cs="Arial"/>
            <w:color w:val="333333"/>
            <w:sz w:val="20"/>
            <w:szCs w:val="20"/>
            <w:u w:val="single"/>
            <w:lang w:eastAsia="ru-RU"/>
          </w:rPr>
          <w:t>Добавлении II</w:t>
        </w:r>
      </w:hyperlink>
      <w:r w:rsidRPr="00735D71">
        <w:rPr>
          <w:rFonts w:ascii="Arial" w:eastAsia="Times New Roman" w:hAnsi="Arial" w:cs="Arial"/>
          <w:color w:val="333333"/>
          <w:sz w:val="20"/>
          <w:szCs w:val="20"/>
          <w:lang w:eastAsia="ru-RU"/>
        </w:rPr>
        <w:t>.</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3. Сторона происхождения обеспечивает, чтобы оценка воздействия на окружающую среду согласно положениям настоящей Конвенции проводилась до принятия решения о санкционировании или осуществлении планируемого вида деятельности, включенного в Добавление I, который может оказывать значительное вредное трансграничное воздействие.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4. Сторона происхождения в соответствии с положениями настоящей Конвенции обеспечивает уведомление затрагиваемых Сторон о планируемом виде деятельности, указанном в Добавлении I, который может оказывать значительное вредное трансграничное воздействие.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 xml:space="preserve">5. Заинтересованные Стороны проводят по инициативе любой из таких Сторон консультации относительно возможности того, что какой-либо вид или виды планируемой деятельности, которые не указаны в Добавлении I, будут оказывать значительное вредное трансграничное воздействие и следует ли к нему или к ним поэтому относится так, как если бы они были указаны в Добавлении I. Если эти Стороны придут к положительной договоренности, то к данному виду или видам </w:t>
      </w:r>
      <w:r w:rsidRPr="00735D71">
        <w:rPr>
          <w:rFonts w:ascii="Arial" w:eastAsia="Times New Roman" w:hAnsi="Arial" w:cs="Arial"/>
          <w:color w:val="333333"/>
          <w:sz w:val="20"/>
          <w:szCs w:val="20"/>
          <w:lang w:eastAsia="ru-RU"/>
        </w:rPr>
        <w:lastRenderedPageBreak/>
        <w:t>деятельности применяется указанный режим. Общие принципы для определения критериев, помогающих установить значительное вредное воздействие, излагаются в </w:t>
      </w:r>
      <w:hyperlink r:id="rId11" w:anchor="a3" w:history="1">
        <w:r w:rsidRPr="00735D71">
          <w:rPr>
            <w:rFonts w:ascii="Arial" w:eastAsia="Times New Roman" w:hAnsi="Arial" w:cs="Arial"/>
            <w:color w:val="333333"/>
            <w:sz w:val="20"/>
            <w:szCs w:val="20"/>
            <w:u w:val="single"/>
            <w:lang w:eastAsia="ru-RU"/>
          </w:rPr>
          <w:t>Добавлении III</w:t>
        </w:r>
      </w:hyperlink>
      <w:r w:rsidRPr="00735D71">
        <w:rPr>
          <w:rFonts w:ascii="Arial" w:eastAsia="Times New Roman" w:hAnsi="Arial" w:cs="Arial"/>
          <w:color w:val="333333"/>
          <w:sz w:val="20"/>
          <w:szCs w:val="20"/>
          <w:lang w:eastAsia="ru-RU"/>
        </w:rPr>
        <w:t>.</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6. Сторона происхождения в соответствии с положениями настоящей Конвенции предоставляет общественности в районах, которые, по всей вероятности, будут затронуты, возможность принять участие в соответствующих процедурах оценки воздействия планируемой деятельности на окружающую среду и обеспечивает, чтобы данная возможность, предоставляемая общественности затрагиваемой Стороны, была равноценна возможности, предоставляемой общественности Стороны происхождения.</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7. В соответствии с положениями настоящей Конвенции оценки воздействия на окружающую среду, в качестве минимального требования, проводятся на уровне проектов планируемой деятельности. По возможности, Стороны стремятся применять принципы оценки воздействия на окружающую среду к политике, планам и программам.</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8. Положения настоящей Конвенции не затрагивают право Сторон применять национальные законы, предписания, административные положения или принятую правовую практику, защищающие информацию, предоставление которой могло бы нанести ущерб производственной и коммерческой тайне или интересам национальной безопасности.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9. Положения настоящей Конвенции не затрагивают право конкретных Сторон применять, при необходимости по двустороннему или многостороннему согласию, более строгие меры, чем те, которые содержатся в настоящей Конвенции.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10. Положения настоящей Конвенции не ущемляют любые обязательства Сторон в соответствии с международным правом в отношении деятельности, которая оказывает или может оказывать трансграничное воздействие.</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3</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Уведомление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 В отношении планируемого вида деятельности, указанного в Добавлении I, который может оказывать значительное вредное трансграничное воздействие, Сторона происхождения в целях обеспечения проведения соответствующих и эффективных консультаций в соответствии со Статьей 5 уведомляет любую Сторону, которая, по ее мнению, может быть затрагиваемой Стороной, как можно скорее и не позднее, чем она проинформирует общественность собственной страны, о планируемой деятельности.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2. Это уведомление, в частности, содержит:</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a</w:t>
      </w:r>
      <w:r w:rsidRPr="00735D71">
        <w:rPr>
          <w:rFonts w:ascii="Arial" w:eastAsia="Times New Roman" w:hAnsi="Arial" w:cs="Arial"/>
          <w:color w:val="333333"/>
          <w:sz w:val="20"/>
          <w:szCs w:val="20"/>
          <w:lang w:eastAsia="ru-RU"/>
        </w:rPr>
        <w:t>) информацию о планируемой деятельности, включая любую имеющуюся информацию о ее возможном трансграничном воздействии;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b</w:t>
      </w:r>
      <w:r w:rsidRPr="00735D71">
        <w:rPr>
          <w:rFonts w:ascii="Arial" w:eastAsia="Times New Roman" w:hAnsi="Arial" w:cs="Arial"/>
          <w:color w:val="333333"/>
          <w:sz w:val="20"/>
          <w:szCs w:val="20"/>
          <w:lang w:eastAsia="ru-RU"/>
        </w:rPr>
        <w:t>) информацию о характере возможного решения; и</w:t>
      </w:r>
    </w:p>
    <w:p w:rsidR="00735D71" w:rsidRPr="00735D71" w:rsidRDefault="00735D71" w:rsidP="00735D71">
      <w:pPr>
        <w:spacing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c</w:t>
      </w:r>
      <w:r w:rsidRPr="00735D71">
        <w:rPr>
          <w:rFonts w:ascii="Arial" w:eastAsia="Times New Roman" w:hAnsi="Arial" w:cs="Arial"/>
          <w:color w:val="333333"/>
          <w:sz w:val="20"/>
          <w:szCs w:val="20"/>
          <w:lang w:eastAsia="ru-RU"/>
        </w:rPr>
        <w:t>) указание разумного срока, в течение которого в соответствии с пунктом 3 настоящей Статьи требуется дать ответ с учетом характера планируемой деятельности;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и может включать информацию, указанную в пункте 5 настоящей Статьи.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3. Затрагиваемая Сторона дает ответ Стороне происхождения в течение срока, указываемого в уведомлении, подтвердив получение уведомления, и указывает, намерена ли она участвовать в процедуре оценки воздействия на окружающую среду.</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4. Если затрагиваемая Сторона указывает, что она не намерена участвовать в процедуре оценки воздействия на окружающую среду, или если она не дает ответа в течение срока, указываемого в уведомлении, то положения пунктов 5, 6, 7 и 8 настоящей Статьи и положений Статей 4–7 не применяются. При таких обстоятельствах не ущемляется право Стороны происхождения определять необходимость проведения оценки воздействия на окружающую среду на основе своего национального законодательства и практики.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lastRenderedPageBreak/>
        <w:t>5. После получения ответа от затрагиваемой Стороны с указанием ее намерения участвовать в процедуре оценки воздействия на окружающую среду Сторона происхождения в том случае, если она еще не сделала этого, предоставляет затрагиваемой Стороне: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a</w:t>
      </w:r>
      <w:r w:rsidRPr="00735D71">
        <w:rPr>
          <w:rFonts w:ascii="Arial" w:eastAsia="Times New Roman" w:hAnsi="Arial" w:cs="Arial"/>
          <w:color w:val="333333"/>
          <w:sz w:val="20"/>
          <w:szCs w:val="20"/>
          <w:lang w:eastAsia="ru-RU"/>
        </w:rPr>
        <w:t>) соответствующую информацию, касающуюся процедуры оценки воздействия на окружающую среду, включая указание на сроки представления замечаний; и</w:t>
      </w:r>
    </w:p>
    <w:p w:rsidR="00735D71" w:rsidRPr="00735D71" w:rsidRDefault="00735D71" w:rsidP="00735D71">
      <w:pPr>
        <w:spacing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b</w:t>
      </w:r>
      <w:r w:rsidRPr="00735D71">
        <w:rPr>
          <w:rFonts w:ascii="Arial" w:eastAsia="Times New Roman" w:hAnsi="Arial" w:cs="Arial"/>
          <w:color w:val="333333"/>
          <w:sz w:val="20"/>
          <w:szCs w:val="20"/>
          <w:lang w:eastAsia="ru-RU"/>
        </w:rPr>
        <w:t>) соответствующую информацию о планируемой деятельности и ее возможном значительном вредном трансграничном воздействии.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6. По просьбе Стороны происхождения затрагиваемая Сторона предоставляет первой разумно доступную информацию о потенциально затрагиваемой окружающей среде, находящейся под юрисдикцией затрагиваемой Стороны, если подобная информация необходима для подготовки документации об оценке воздействия на окружающую среду. Эта информация предоставляется безотлагательно и, при необходимости, через совместный орган, если таковой существует.</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7. Если какая-либо Сторона считает, что она будет затронута в результате значительного вредного трансграничного воздействия планируемой деятельности, указанной в Добавлении I, и если не поступило никакого уведомления в соответствии с пунктом 1 настоящей Статьи, то по просьбе затрагиваемой Стороны заинтересованные Стороны проводят обмен достаточной информацией с целью обсуждения вопроса о вероятности возникновения значительного вредного трансграничного воздействия. Если эти Стороны соглашаются, что значительное вредное трансграничное воздействие, по всей видимости, будет иметь место, то соответственно применяются положения настоящей Конвенции. Если эти Стороны не могут прийти к согласию в отношении того, что значительное вредное трансграничное воздействие, по всей видимости, будет иметь место, любая такая Сторона может вынести этот вопрос на рассмотрение комиссии по запросу в соответствии с положениями </w:t>
      </w:r>
      <w:hyperlink r:id="rId12" w:anchor="a4" w:history="1">
        <w:r w:rsidRPr="00735D71">
          <w:rPr>
            <w:rFonts w:ascii="Arial" w:eastAsia="Times New Roman" w:hAnsi="Arial" w:cs="Arial"/>
            <w:color w:val="333333"/>
            <w:sz w:val="20"/>
            <w:szCs w:val="20"/>
            <w:u w:val="single"/>
            <w:lang w:eastAsia="ru-RU"/>
          </w:rPr>
          <w:t>Добавления IV</w:t>
        </w:r>
      </w:hyperlink>
      <w:r w:rsidRPr="00735D71">
        <w:rPr>
          <w:rFonts w:ascii="Arial" w:eastAsia="Times New Roman" w:hAnsi="Arial" w:cs="Arial"/>
          <w:color w:val="333333"/>
          <w:sz w:val="20"/>
          <w:szCs w:val="20"/>
          <w:lang w:eastAsia="ru-RU"/>
        </w:rPr>
        <w:t> с целью выяснения ее мнения о вероятности значительного вредного трансграничного воздействия, если Стороны не договорились об ином пути урегулирования этого вопроса.</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8. Заинтересованные Стороны обеспечивают, чтобы у общественности затрагиваемой Стороны в районах, которые, по всей вероятности, будут затронуты, имелись информация и возможности для представления замечаний или возражений по планируемой деятельности и чтобы эти замечания или возражения были сообщены компетентному органу Стороны происхождения либо непосредственно, либо, когда это необходимо, через Сторону происхождения.</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4</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Подготовка документации об оценке воздействия на окружающую среду</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 Документация об оценке воздействия на окружающую среду, которая должна быть представлена компетентному органу Стороны происхождения, содержит, как минимум, информацию, описанную в Добавлении II.</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2. Сторона происхождения представляет затрагиваемой Стороне соответствующим образом через совместный орган, если таковой существует, документацию об оценке воздействия на окружающую среду. Заинтересованные Стороны обеспечивают распространение этой документации среди органов и общественности затрагиваемой Стороны в районах, которые, по всей вероятности, будут подвергнуты воздействию, а также представление замечаний компетентному органу Стороны происхождения, либо непосредственно, либо, когда это необходимо, через Сторону происхождения, в разумные сроки до принятия окончательного решения относительно планируемой деятельности.</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5</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Консультации, проводимые на основе документации об оценке воздействия на окружающую среду</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Сторона происхождения после завершения подготовки документации об оценке воздействия на окружающую среду и без необоснованного промедления проводит консультации с соответствующей затрагиваемой Стороной в отношении, в частности, потенциального трансграничного воздействия планируемой деятельности и мер по уменьшению или устранению ее воздействия. Консультации могут касаться:</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lastRenderedPageBreak/>
        <w:t>a</w:t>
      </w:r>
      <w:r w:rsidRPr="00735D71">
        <w:rPr>
          <w:rFonts w:ascii="Arial" w:eastAsia="Times New Roman" w:hAnsi="Arial" w:cs="Arial"/>
          <w:color w:val="333333"/>
          <w:sz w:val="20"/>
          <w:szCs w:val="20"/>
          <w:lang w:eastAsia="ru-RU"/>
        </w:rPr>
        <w:t>) возможных альтернатив планируемой деятельности, включая альтернативу непринятия никаких действий, и возможных мер по уменьшению значительного вредного трансграничного воздействия планируемой деятельности и мониторингу последствий осуществления таких мер за счет средств Стороны происхождения;</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b</w:t>
      </w:r>
      <w:r w:rsidRPr="00735D71">
        <w:rPr>
          <w:rFonts w:ascii="Arial" w:eastAsia="Times New Roman" w:hAnsi="Arial" w:cs="Arial"/>
          <w:color w:val="333333"/>
          <w:sz w:val="20"/>
          <w:szCs w:val="20"/>
          <w:lang w:eastAsia="ru-RU"/>
        </w:rPr>
        <w:t>) других форм возможной взаимной помощи в уменьшении любого значительного вредного трансграничного воздействия планируемой деятельности; и</w:t>
      </w:r>
    </w:p>
    <w:p w:rsidR="00735D71" w:rsidRPr="00735D71" w:rsidRDefault="00735D71" w:rsidP="00735D71">
      <w:pPr>
        <w:spacing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c</w:t>
      </w:r>
      <w:r w:rsidRPr="00735D71">
        <w:rPr>
          <w:rFonts w:ascii="Arial" w:eastAsia="Times New Roman" w:hAnsi="Arial" w:cs="Arial"/>
          <w:color w:val="333333"/>
          <w:sz w:val="20"/>
          <w:szCs w:val="20"/>
          <w:lang w:eastAsia="ru-RU"/>
        </w:rPr>
        <w:t>) любых других соответствующих вопросов, имеющих отношение к планируемой деятельности.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Стороны согласуют на начальном этапе таких консультаций вопрос об их продолжительности в пределах приемлемых временных рамок. Любые такие консультации могут проводиться через соответствующий совместный орган там, где таковой существует.</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6</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Окончательное решение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 Стороны обеспечивают, чтобы в окончательном решении по планируемой деятельности были должным образом учтены результаты оценки воздействия на окружающую среду, включая документацию об оценке воздействия на окружающую среду, а также замечания по этой документации, полученные в соответствии с пунктом 8 Статьи 3 и пунктом 2 Статьи 4, и итоги консультаций, указанных в Статье 5.</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2. Сторона происхождения сообщает затрагиваемой Стороне окончательное решение относительно планируемой деятельности вместе с причинами и соображениями, на которых оно основано.</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3. Если дополнительная информация о значительном трансграничном воздействии планируемой деятельности, которая отсутствовала в момент принятия решения в отношении этой деятельности и которая могла бы существенным образом повлиять на это решение, становится известной заинтересованной Стороне до начала осуществления такой деятельности, то эта Сторона незамедлительно информирует другую заинтересованную Сторону или заинтересованные Стороны. Если одна из заинтересованных Сторон просит об этом, то проводятся консультации по вопросу о необходимости пересмотра этого решения.</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7</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Послепроектный анализ</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 С учетом вероятного значительного вредного трансграничного воздействия деятельности, в отношении которой в соответствии с настоящей Конвенцией осуществляется оценка воздействия на окружающую среду, заинтересованные Стороны по просьбе любой из таких Сторон определяют, будет ли проводиться послепроектный анализ, и если будет проводиться, то в какой мере. Любой проводимый послепроектный анализ включает, в частности, наблюдение за данной деятельностью и определение любого вредного трансграничного воздействия. Такое наблюдение и определение могут проводиться для достижения целей, указанных в </w:t>
      </w:r>
      <w:hyperlink r:id="rId13" w:anchor="a5" w:history="1">
        <w:r w:rsidRPr="00735D71">
          <w:rPr>
            <w:rFonts w:ascii="Arial" w:eastAsia="Times New Roman" w:hAnsi="Arial" w:cs="Arial"/>
            <w:color w:val="333333"/>
            <w:sz w:val="20"/>
            <w:szCs w:val="20"/>
            <w:u w:val="single"/>
            <w:lang w:eastAsia="ru-RU"/>
          </w:rPr>
          <w:t>Добавлении V</w:t>
        </w:r>
      </w:hyperlink>
      <w:r w:rsidRPr="00735D71">
        <w:rPr>
          <w:rFonts w:ascii="Arial" w:eastAsia="Times New Roman" w:hAnsi="Arial" w:cs="Arial"/>
          <w:color w:val="333333"/>
          <w:sz w:val="20"/>
          <w:szCs w:val="20"/>
          <w:lang w:eastAsia="ru-RU"/>
        </w:rPr>
        <w:t>.</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2. Если в результате проведения послепроектного анализа Сторона происхождения или затрагиваемая Сторона имеет достаточное основание считать, что значительное вредное трансграничное воздействие имеет место или обнаружены факторы, которые могут привести к такому воздействию, она немедленно информирует об этом другую Сторону. Заинтересованные Стороны затем проводят консультации по мерам, которые необходимо предпринять с целью уменьшения или устранения воздействия.</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8</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Двустороннее и многостороннее сотрудничество</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 xml:space="preserve">Стороны могут продолжить выполнять действующие соглашения или вступать в новые двусторонние или многосторонние соглашения или другие договоренности с целью соблюдения </w:t>
      </w:r>
      <w:r w:rsidRPr="00735D71">
        <w:rPr>
          <w:rFonts w:ascii="Arial" w:eastAsia="Times New Roman" w:hAnsi="Arial" w:cs="Arial"/>
          <w:color w:val="333333"/>
          <w:sz w:val="20"/>
          <w:szCs w:val="20"/>
          <w:lang w:eastAsia="ru-RU"/>
        </w:rPr>
        <w:lastRenderedPageBreak/>
        <w:t>своих обязательств в соответствии с настоящей Конвенцией. Такие соглашения или другие договоренности могут основываться на элементах, перечисленных в </w:t>
      </w:r>
      <w:hyperlink r:id="rId14" w:anchor="a6" w:history="1">
        <w:r w:rsidRPr="00735D71">
          <w:rPr>
            <w:rFonts w:ascii="Arial" w:eastAsia="Times New Roman" w:hAnsi="Arial" w:cs="Arial"/>
            <w:color w:val="333333"/>
            <w:sz w:val="20"/>
            <w:szCs w:val="20"/>
            <w:u w:val="single"/>
            <w:lang w:eastAsia="ru-RU"/>
          </w:rPr>
          <w:t>Добавлении VI</w:t>
        </w:r>
      </w:hyperlink>
      <w:r w:rsidRPr="00735D71">
        <w:rPr>
          <w:rFonts w:ascii="Arial" w:eastAsia="Times New Roman" w:hAnsi="Arial" w:cs="Arial"/>
          <w:color w:val="333333"/>
          <w:sz w:val="20"/>
          <w:szCs w:val="20"/>
          <w:lang w:eastAsia="ru-RU"/>
        </w:rPr>
        <w:t>.</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9</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Программы исследований</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Стороны уделяют особое внимание разработке или более активному выполнению конкретных исследовательских программ, нацеленных на:</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a</w:t>
      </w:r>
      <w:r w:rsidRPr="00735D71">
        <w:rPr>
          <w:rFonts w:ascii="Arial" w:eastAsia="Times New Roman" w:hAnsi="Arial" w:cs="Arial"/>
          <w:color w:val="333333"/>
          <w:sz w:val="20"/>
          <w:szCs w:val="20"/>
          <w:lang w:eastAsia="ru-RU"/>
        </w:rPr>
        <w:t>) совершенствование существующих методов качественной и количественной оценки последствий планируемых видов деятельности;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b</w:t>
      </w:r>
      <w:r w:rsidRPr="00735D71">
        <w:rPr>
          <w:rFonts w:ascii="Arial" w:eastAsia="Times New Roman" w:hAnsi="Arial" w:cs="Arial"/>
          <w:color w:val="333333"/>
          <w:sz w:val="20"/>
          <w:szCs w:val="20"/>
          <w:lang w:eastAsia="ru-RU"/>
        </w:rPr>
        <w:t>) более глубокое уяснение причинно-следственных связей и их роли в комплексном рациональном природопользовании;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c</w:t>
      </w:r>
      <w:r w:rsidRPr="00735D71">
        <w:rPr>
          <w:rFonts w:ascii="Arial" w:eastAsia="Times New Roman" w:hAnsi="Arial" w:cs="Arial"/>
          <w:color w:val="333333"/>
          <w:sz w:val="20"/>
          <w:szCs w:val="20"/>
          <w:lang w:eastAsia="ru-RU"/>
        </w:rPr>
        <w:t>) проведение анализа и мониторинга эффективности выполнения решений, касающихся планируемых видов деятельности, в целях сведения до минимума или предотвращения воздействия;</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d</w:t>
      </w:r>
      <w:r w:rsidRPr="00735D71">
        <w:rPr>
          <w:rFonts w:ascii="Arial" w:eastAsia="Times New Roman" w:hAnsi="Arial" w:cs="Arial"/>
          <w:color w:val="333333"/>
          <w:sz w:val="20"/>
          <w:szCs w:val="20"/>
          <w:lang w:eastAsia="ru-RU"/>
        </w:rPr>
        <w:t>) разработку методов стимулирования новаторских подходов к поиску экологически обоснованных альтернатив планируемым видам деятельности, структурам производства и потребления;</w:t>
      </w:r>
    </w:p>
    <w:p w:rsidR="00735D71" w:rsidRPr="00735D71" w:rsidRDefault="00735D71" w:rsidP="00735D71">
      <w:pPr>
        <w:spacing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e</w:t>
      </w:r>
      <w:r w:rsidRPr="00735D71">
        <w:rPr>
          <w:rFonts w:ascii="Arial" w:eastAsia="Times New Roman" w:hAnsi="Arial" w:cs="Arial"/>
          <w:color w:val="333333"/>
          <w:sz w:val="20"/>
          <w:szCs w:val="20"/>
          <w:lang w:eastAsia="ru-RU"/>
        </w:rPr>
        <w:t>) разработку методологии применения принципов оценки воздействия на окружающую среду на макроэкономическом уровне.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Стороны обмениваются результатами осуществления перечисленных выше программ.</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10</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Статус Добавлений</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Добавления к настоящей Конвенции составляют неотъемлемую часть Конвенции.</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11</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Совещание Сторон</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 Стороны проводят совещания, приуроченные, по возможности, к ежегодным сессиям Старших советников правительств стран ЕЭК по проблемам окружающей среды и водных ресурсов. Первое совещание Сторон проводится не позднее, чем через один год со дня вступления в силу настоящей Конвенции. В последующем необходимость проведения совещаний и их сроки определяются совещанием Сторон или в соответствии с представленной в письменном виде просьбой любой из Сторон при условии, что в течение шести месяцев со дня уведомления секретариатом Сторон об этой просьбе она будет поддержана не менее чем одной третью Сторон.</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2. Стороны постоянно контролируют ход выполнения настоящей Конвенции и с этой целью:</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a</w:t>
      </w:r>
      <w:r w:rsidRPr="00735D71">
        <w:rPr>
          <w:rFonts w:ascii="Arial" w:eastAsia="Times New Roman" w:hAnsi="Arial" w:cs="Arial"/>
          <w:color w:val="333333"/>
          <w:sz w:val="20"/>
          <w:szCs w:val="20"/>
          <w:lang w:eastAsia="ru-RU"/>
        </w:rPr>
        <w:t>) осуществляют обзор политики и методологических подходов Сторон к оценке воздействия на окружающую среду с целью дальнейшего совершенствования процедур оценки воздействия на окружающую среду в трансграничном контексте;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b</w:t>
      </w:r>
      <w:r w:rsidRPr="00735D71">
        <w:rPr>
          <w:rFonts w:ascii="Arial" w:eastAsia="Times New Roman" w:hAnsi="Arial" w:cs="Arial"/>
          <w:color w:val="333333"/>
          <w:sz w:val="20"/>
          <w:szCs w:val="20"/>
          <w:lang w:eastAsia="ru-RU"/>
        </w:rPr>
        <w:t>) обмениваются информацией, касающейся опыта, накопленного в области заключения и выполнения двухсторонних и многосторонних соглашений или других договоренностей, касающихся использования оценки воздействия на окружающую среду в трансграничном контексте, сторонами которых являются одна или более Сторон;</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c</w:t>
      </w:r>
      <w:r w:rsidRPr="00735D71">
        <w:rPr>
          <w:rFonts w:ascii="Arial" w:eastAsia="Times New Roman" w:hAnsi="Arial" w:cs="Arial"/>
          <w:color w:val="333333"/>
          <w:sz w:val="20"/>
          <w:szCs w:val="20"/>
          <w:lang w:eastAsia="ru-RU"/>
        </w:rPr>
        <w:t>) при необходимости прибегают к услугам компетентных международных органов или научных комитетов для решения методологических или технических вопросов, возникающих на пути к достижению целей настоящей Конвенции;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lastRenderedPageBreak/>
        <w:t>d</w:t>
      </w:r>
      <w:r w:rsidRPr="00735D71">
        <w:rPr>
          <w:rFonts w:ascii="Arial" w:eastAsia="Times New Roman" w:hAnsi="Arial" w:cs="Arial"/>
          <w:color w:val="333333"/>
          <w:sz w:val="20"/>
          <w:szCs w:val="20"/>
          <w:lang w:eastAsia="ru-RU"/>
        </w:rPr>
        <w:t>) на своем первом совещании рассматривают и принимают консенсусом правила процедуры своих совещаний;</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e</w:t>
      </w:r>
      <w:r w:rsidRPr="00735D71">
        <w:rPr>
          <w:rFonts w:ascii="Arial" w:eastAsia="Times New Roman" w:hAnsi="Arial" w:cs="Arial"/>
          <w:color w:val="333333"/>
          <w:sz w:val="20"/>
          <w:szCs w:val="20"/>
          <w:lang w:eastAsia="ru-RU"/>
        </w:rPr>
        <w:t>) рассматривают и, при необходимости, принимают предложения по поправкам к настоящей Конвенции;</w:t>
      </w:r>
    </w:p>
    <w:p w:rsidR="00735D71" w:rsidRPr="00735D71" w:rsidRDefault="00735D71" w:rsidP="00735D71">
      <w:pPr>
        <w:spacing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f</w:t>
      </w:r>
      <w:r w:rsidRPr="00735D71">
        <w:rPr>
          <w:rFonts w:ascii="Arial" w:eastAsia="Times New Roman" w:hAnsi="Arial" w:cs="Arial"/>
          <w:color w:val="333333"/>
          <w:sz w:val="20"/>
          <w:szCs w:val="20"/>
          <w:lang w:eastAsia="ru-RU"/>
        </w:rPr>
        <w:t>) рассматривают и принимают любые дополнительные меры, которые могут потребоваться для достижения целей настоящей Конвенции.</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12</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Право голоса</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 Каждая Сторона настоящей Конвенции имеет один голос.</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2. В качестве исключения из общего правила, предусмотренного в пункте 1 настоящей Статьи, региональные организации по экономической интеграции осуществляют свое право голоса по вопросам, входящим в их компетенцию, располагая числом голосов, равным числу их государств-членов, являющихся Сторонами настоящей Конвенции. Такие организации утрачивают право голоса, если их государства-члены осуществляют свое право голоса, и наоборот.</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13</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Секретариат</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Исполнительный секретарь Европейской экономической комиссии выполняет следующие секретариатские функции: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a</w:t>
      </w:r>
      <w:r w:rsidRPr="00735D71">
        <w:rPr>
          <w:rFonts w:ascii="Arial" w:eastAsia="Times New Roman" w:hAnsi="Arial" w:cs="Arial"/>
          <w:color w:val="333333"/>
          <w:sz w:val="20"/>
          <w:szCs w:val="20"/>
          <w:lang w:eastAsia="ru-RU"/>
        </w:rPr>
        <w:t>) созывает и подготавливает совещания Сторон;</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b</w:t>
      </w:r>
      <w:r w:rsidRPr="00735D71">
        <w:rPr>
          <w:rFonts w:ascii="Arial" w:eastAsia="Times New Roman" w:hAnsi="Arial" w:cs="Arial"/>
          <w:color w:val="333333"/>
          <w:sz w:val="20"/>
          <w:szCs w:val="20"/>
          <w:lang w:eastAsia="ru-RU"/>
        </w:rPr>
        <w:t>) передает Сторонам доклады и другую информацию, полученную в соответствии с положениями настоящей Конвенции; и</w:t>
      </w:r>
    </w:p>
    <w:p w:rsidR="00735D71" w:rsidRPr="00735D71" w:rsidRDefault="00735D71" w:rsidP="00735D71">
      <w:pPr>
        <w:spacing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c</w:t>
      </w:r>
      <w:r w:rsidRPr="00735D71">
        <w:rPr>
          <w:rFonts w:ascii="Arial" w:eastAsia="Times New Roman" w:hAnsi="Arial" w:cs="Arial"/>
          <w:color w:val="333333"/>
          <w:sz w:val="20"/>
          <w:szCs w:val="20"/>
          <w:lang w:eastAsia="ru-RU"/>
        </w:rPr>
        <w:t>) осуществляет иные функции, которые могут быть предусмотрены в настоящей Конвенции или которые могут быть определены Сторонами.</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14</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Поправки к Конвенции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 Любая из Сторон может предлагать поправки к настоящей Конвенции.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2. Предлагаемые поправки представляются в письменном виде секретариату, который направляет их всем Сторонам. Предлагаемые поправки обсуждаются на очередном совещании Сторон при условии, что эти поправки были направлены секретариатом Сторонам по меньшей мере за девяносто дней до его начала.</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3. Стороны прилагают все усилия к достижению согласия в отношении принятия любой предложенной поправки к настоящей Конвенции путем консенсуса. Если все средства для достижения консенсуса исчерпаны, а согласие не достигнуто, то в качестве последней меры поправка принимается большинством в три четверти голосов Сторон, присутствующих на совещании и участвующих в голосовании.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4. Депозитарий доводит до сведения всех Сторон поправки к настоящей Конвенции, принятые в соответствии с пунктом 3 настоящей Статьи, для ратификации, одобрения или принятия. Они вступают в силу для Сторон, которые их ратифицировали, одобрили или приняли, на девяностый день после получения Депозитарием уведомления об их ратификации, одобрении или принятии, по меньшей мере, тремя четвертями Сторон. В дальнейшем для любой другой Стороны поправки вступают в силу на девяностый день после сдачи данной Стороной на хранение документа о ратификации, одобрении или принятии этих поправок.</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lastRenderedPageBreak/>
        <w:t>5. Для целей настоящей Статьи под «Сторонами, присутствующими и участвующими в голосовании», понимаются Стороны, присутствующие и голосующие «за» или «против».</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6. Процедура голосования, изложенная в пункте 3 настоящей Статьи, не создает прецедента для будущих соглашений, которые могут быть заключены в рамках Европейской экономической комиссии.</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15</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Урегулирование споров</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 При возникновении спора между двумя или более Сторонами относительно толкования или соблюдения настоящей Конвенции они стремятся к урегулированию спора путем переговоров или любым иным способом по своему усмотрению.</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2. При подписании, ратификации, принятии, одобрении настоящей Конвенции или присоединении к ней или в любой момент после этого Сторона может направить Депозитарию письменное заявление о том, что в отношении спора, который не был разрешен в соответствии с положениями пункта 1 настоящей Статьи, она признает одно или оба из следующих средств урегулирования спора как обязательные в отношении любой Стороны, принимающей на себя такое же обязательство:</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a</w:t>
      </w:r>
      <w:r w:rsidRPr="00735D71">
        <w:rPr>
          <w:rFonts w:ascii="Arial" w:eastAsia="Times New Roman" w:hAnsi="Arial" w:cs="Arial"/>
          <w:color w:val="333333"/>
          <w:sz w:val="20"/>
          <w:szCs w:val="20"/>
          <w:lang w:eastAsia="ru-RU"/>
        </w:rPr>
        <w:t>) передача спора в </w:t>
      </w:r>
      <w:hyperlink r:id="rId15" w:history="1">
        <w:r w:rsidRPr="00735D71">
          <w:rPr>
            <w:rFonts w:ascii="Arial" w:eastAsia="Times New Roman" w:hAnsi="Arial" w:cs="Arial"/>
            <w:color w:val="333333"/>
            <w:sz w:val="20"/>
            <w:szCs w:val="20"/>
            <w:u w:val="single"/>
            <w:lang w:eastAsia="ru-RU"/>
          </w:rPr>
          <w:t>Международный Суд</w:t>
        </w:r>
      </w:hyperlink>
      <w:r w:rsidRPr="00735D71">
        <w:rPr>
          <w:rFonts w:ascii="Arial" w:eastAsia="Times New Roman" w:hAnsi="Arial" w:cs="Arial"/>
          <w:color w:val="333333"/>
          <w:sz w:val="20"/>
          <w:szCs w:val="20"/>
          <w:lang w:eastAsia="ru-RU"/>
        </w:rPr>
        <w:t>;</w:t>
      </w:r>
    </w:p>
    <w:p w:rsidR="00735D71" w:rsidRPr="00735D71" w:rsidRDefault="00735D71" w:rsidP="00735D71">
      <w:pPr>
        <w:spacing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b</w:t>
      </w:r>
      <w:r w:rsidRPr="00735D71">
        <w:rPr>
          <w:rFonts w:ascii="Arial" w:eastAsia="Times New Roman" w:hAnsi="Arial" w:cs="Arial"/>
          <w:color w:val="333333"/>
          <w:sz w:val="20"/>
          <w:szCs w:val="20"/>
          <w:lang w:eastAsia="ru-RU"/>
        </w:rPr>
        <w:t>) передача спора в арбитраж в соответствии с процедурой, установленной в </w:t>
      </w:r>
      <w:hyperlink r:id="rId16" w:anchor="a7" w:history="1">
        <w:r w:rsidRPr="00735D71">
          <w:rPr>
            <w:rFonts w:ascii="Arial" w:eastAsia="Times New Roman" w:hAnsi="Arial" w:cs="Arial"/>
            <w:color w:val="333333"/>
            <w:sz w:val="20"/>
            <w:szCs w:val="20"/>
            <w:u w:val="single"/>
            <w:lang w:eastAsia="ru-RU"/>
          </w:rPr>
          <w:t>Добавлении VII</w:t>
        </w:r>
      </w:hyperlink>
      <w:r w:rsidRPr="00735D71">
        <w:rPr>
          <w:rFonts w:ascii="Arial" w:eastAsia="Times New Roman" w:hAnsi="Arial" w:cs="Arial"/>
          <w:color w:val="333333"/>
          <w:sz w:val="20"/>
          <w:szCs w:val="20"/>
          <w:lang w:eastAsia="ru-RU"/>
        </w:rPr>
        <w:t>.</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3. Если стороны спора приняли обе процедуры урегулирования спора, указанные в пункте 2 настоящей Статьи, то спор может быть передан только в Международный Суд, если стороны не договорились об ином.</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16</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Подписание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Настоящая Конвенция открыта для подписания в Эспо (Финляндия) с 25 февраля по 1 марта 1991 года, а затем в Центральных учреждениях Организации Объединенных Наций в Нью-Йорке до 2 сентября 1991 года государствами — членами Европейской экономической комиссии, а также государствами, имеющими консультативный статус при Европейской экономической комиссии, в соответствии с пунктом 8 </w:t>
      </w:r>
      <w:hyperlink r:id="rId17" w:history="1">
        <w:r w:rsidRPr="00735D71">
          <w:rPr>
            <w:rFonts w:ascii="Arial" w:eastAsia="Times New Roman" w:hAnsi="Arial" w:cs="Arial"/>
            <w:color w:val="333333"/>
            <w:sz w:val="20"/>
            <w:szCs w:val="20"/>
            <w:u w:val="single"/>
            <w:lang w:eastAsia="ru-RU"/>
          </w:rPr>
          <w:t>резолюции 36 (IV)</w:t>
        </w:r>
      </w:hyperlink>
      <w:r w:rsidRPr="00735D71">
        <w:rPr>
          <w:rFonts w:ascii="Arial" w:eastAsia="Times New Roman" w:hAnsi="Arial" w:cs="Arial"/>
          <w:color w:val="333333"/>
          <w:sz w:val="20"/>
          <w:szCs w:val="20"/>
          <w:lang w:eastAsia="ru-RU"/>
        </w:rPr>
        <w:t> Экономического и Социального Совета от 28 марта 1947 года, и региональными организациями по экономической интеграции, созданными суверенными государствами — членами Европейской экономической комиссии, которым их государства-члены передали полномочия в отношении вопросов, регулируемых настоящей Конвенцией, передали полномочия заключать договоры, касающиеся данных вопросов.</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17</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Ратификация, принятие, одобрение и присоединение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 Настоящая Конвенция подлежит ратификации, принятию или одобрению подписавшими его государствами и региональными организациями по экономической интеграции.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2. Настоящая Конвенция открыта для присоединения государств и организаций, упомянутых в Статье 16, с 3 сентября 1991 года.</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3. Документы о ратификации, принятии, одобрении или присоединении сдаются на хранение Генеральному секретарю Организации Объединенных Наций, который выполняет функции Депозитария.</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 xml:space="preserve">4. Любая организация, упомянутая в Статье 16, которая становится Стороной настоящей Конвенции при том, что ни одно из государств — членов этой организации не является Стороной настоящей Конвенции, будет связана всеми обязательствами, вытекающими из настоящей Конвенции. В случае, когда одно или несколько государств — членов такой организации являются </w:t>
      </w:r>
      <w:r w:rsidRPr="00735D71">
        <w:rPr>
          <w:rFonts w:ascii="Arial" w:eastAsia="Times New Roman" w:hAnsi="Arial" w:cs="Arial"/>
          <w:color w:val="333333"/>
          <w:sz w:val="20"/>
          <w:szCs w:val="20"/>
          <w:lang w:eastAsia="ru-RU"/>
        </w:rPr>
        <w:lastRenderedPageBreak/>
        <w:t>Сторонами настоящей Конвенции, данная организация и ее государства-члены принимают решение в отношении их соответствующих обязанностей по выполнению своих обязательств по настоящей Конвенции. В таких случаях и эта организация, и ее государства-члены не могут одновременно пользоваться правами, вытекающими из настоящей Конвенции.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5. В своих документах о ратификации, принятии, одобрении или присоединении региональные организации по экономической интеграции, упомянутые в Статье 16, заявляют о пределах своей компетенции в вопросах, регулируемых настоящей Конвенцией. Эти организации также информируют Депозитария о любом соответствующем изменении пределов своей компетенции.</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18</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Вступление в силу</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 Настоящая Конвенция вступает в силу на девяностый день после сдачи на хранение шестнадцатого документа о ратификации, принятии, одобрении или присоединении.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2. Для целей пункта 1 настоящей Статьи любой документ, сданный на хранение какой-либо региональной организацией по экономической интеграции, не рассматривается в качестве дополнительного к документам, сданным на хранение государствами — членами такой организации.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3. Для каждого государства или организации, упомянутой в Статье 16, которые ратифицируют, принимают или одобряют настоящую Конвенцию или присоединяются к ней после сдачи на хранение шестнадцатого документа о ратификации, принятии, одобрении или присоединении, настоящая Конвенция вступает в силу на девяностый день после сдачи на хранение таким государством или организацией документа о ратификации, принятии, одобрении или присоединении.</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19</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Выход из Конвенции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В любое время по истечении четырех лет со дня вступления в силу настоящей Конвенции для данной Стороны эта Сторона может выйти из настоящей Конвенции путем письменного уведомления Депозитария. Любой такой выход приобретает силу на девяностый день после даты получения уведомления о нем Депозитарием. Любой такой выход из настоящей Конвенции не затрагивает применения Статей 3–6 настоящей Конвенции и планируемой деятельности, в отношении которой было сделано уведомление в соответствии с пунктом 1 Статьи 3 или сделан запрос в соответствии с пунктом 7 Статьи 3 до вступления в силу такого выхода.</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735D71">
        <w:rPr>
          <w:rFonts w:ascii="Arial" w:eastAsia="Times New Roman" w:hAnsi="Arial" w:cs="Arial"/>
          <w:color w:val="000000"/>
          <w:sz w:val="24"/>
          <w:szCs w:val="24"/>
          <w:lang w:eastAsia="ru-RU"/>
        </w:rPr>
        <w:t>Статья 20</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Аутентичные тексты</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Подлинник настоящей Конвенции, английский,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В УДОСТОВЕРЕНИЕ ЧЕГО нижеподписавшиеся, должным образом на то уполномоченные, подписали настоящую Конвенцию.</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СОВЕРШЕНО в Эспо (Финляндия) двадцать пятого февраля одна тысяча девятьсот девяносто первого года.</w:t>
      </w:r>
    </w:p>
    <w:p w:rsidR="00735D71" w:rsidRPr="00735D71" w:rsidRDefault="00735D71" w:rsidP="00735D71">
      <w:pPr>
        <w:spacing w:before="360" w:after="240" w:line="240" w:lineRule="auto"/>
        <w:outlineLvl w:val="1"/>
        <w:rPr>
          <w:rFonts w:ascii="Arial" w:eastAsia="Times New Roman" w:hAnsi="Arial" w:cs="Arial"/>
          <w:b/>
          <w:bCs/>
          <w:color w:val="333333"/>
          <w:sz w:val="24"/>
          <w:szCs w:val="24"/>
          <w:lang w:eastAsia="ru-RU"/>
        </w:rPr>
      </w:pPr>
      <w:r w:rsidRPr="00735D71">
        <w:rPr>
          <w:rFonts w:ascii="Arial" w:eastAsia="Times New Roman" w:hAnsi="Arial" w:cs="Arial"/>
          <w:b/>
          <w:bCs/>
          <w:color w:val="333333"/>
          <w:sz w:val="24"/>
          <w:szCs w:val="24"/>
          <w:lang w:eastAsia="ru-RU"/>
        </w:rPr>
        <w:t>Добавления</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0" w:name="a1"/>
      <w:bookmarkEnd w:id="0"/>
      <w:r w:rsidRPr="00735D71">
        <w:rPr>
          <w:rFonts w:ascii="Arial" w:eastAsia="Times New Roman" w:hAnsi="Arial" w:cs="Arial"/>
          <w:color w:val="000000"/>
          <w:sz w:val="24"/>
          <w:szCs w:val="24"/>
          <w:lang w:eastAsia="ru-RU"/>
        </w:rPr>
        <w:t>Добавление I</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Перечень видов деятельности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lastRenderedPageBreak/>
        <w:t>1. Нефтеочистительные заводы (за исключением предприятий, производящих только смазочные материалы из сырой нефти) и установки для газификации и сжижения угля или битуминозных сланцев производительностью 500 тонн или более в день.</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2. Тепловые электростанции и другие установки для сжигания тепловой мощностью 300 мегаватт или более, а также атомные электростанции и другие сооружения с ядерными реакторами (за исключением исследовательских установок для производства и конверсии расщепляющихся и воспроизводящих материалов, максимальная мощность которых не превышает 1 киловатт постоянной тепловой нагрузки).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3. Установки, предназначенные исключительно для производства или обогащения ядерного топлива, регенерации отработанного ядерного топлива или сбора, удаления и переработки радиоактивных отходов.</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4. Крупные установки для доменного и мартеновского производства и предприятия цветной металлургии.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5. Установки для извлечения асбеста и переработки и преобразования асбеста и асбестосодержащих продуктов: в отношении асбестоцементных продуктов — с годовым производством более 20 000 тонн готовой продукции; в отношении фрикционных материалов — с годовым производством более 50 тонн готовой продукции; и в отношении других видов применения асбеста — с использованием более 200 тонн в год.</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6. Химические комбинаты.</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7. Строительство автомагистралей, скоростных дорог</w:t>
      </w:r>
      <w:hyperlink r:id="rId18" w:anchor="a8" w:history="1">
        <w:r w:rsidRPr="00735D71">
          <w:rPr>
            <w:rFonts w:ascii="Arial" w:eastAsia="Times New Roman" w:hAnsi="Arial" w:cs="Arial"/>
            <w:color w:val="333333"/>
            <w:sz w:val="20"/>
            <w:szCs w:val="20"/>
            <w:u w:val="single"/>
            <w:vertAlign w:val="superscript"/>
            <w:lang w:eastAsia="ru-RU"/>
          </w:rPr>
          <w:t>*</w:t>
        </w:r>
      </w:hyperlink>
      <w:r w:rsidRPr="00735D71">
        <w:rPr>
          <w:rFonts w:ascii="Arial" w:eastAsia="Times New Roman" w:hAnsi="Arial" w:cs="Arial"/>
          <w:color w:val="333333"/>
          <w:sz w:val="20"/>
          <w:szCs w:val="20"/>
          <w:lang w:eastAsia="ru-RU"/>
        </w:rPr>
        <w:t>, трасс для железных дорог дальнего сообщения и аэропортов с длиной основной взлетно-посадочной полосы в 2 100 метров или более.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8. Нефте- и газопроводы с трубами большого диаметра.</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9. Торговые порты, а также внутренние водные пути и порты для внутреннего судоходства, допускающих проход судов водоизмещением более 1 350 тонн.</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10. Установки по удалению отходов для сжигания, химической переработки или захоронения токсических и опасных отходов.</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11. Крупные плотины и водохранилища.</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12. Деятельность по забору подземных вод в случае, если годовой объем забираемой воды достигает 10 миллионов кубических метров или более.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13. Производство целлюлозы и бумаги с получением в день 200 или более метрических тонн продукции, прошедшей воздушную сушку.</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14. Крупномасштабная добыча, извлечение и обогащение на месте металлических руд и угля.</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15. Добыча углеводородов на континентальном шельфе.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16. Крупные склады для хранения нефтяных, нефтехимических и химических продуктов.</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17. Вырубка лесов на крупных площадях.</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1" w:name="a2"/>
      <w:bookmarkEnd w:id="1"/>
      <w:r w:rsidRPr="00735D71">
        <w:rPr>
          <w:rFonts w:ascii="Arial" w:eastAsia="Times New Roman" w:hAnsi="Arial" w:cs="Arial"/>
          <w:color w:val="000000"/>
          <w:sz w:val="24"/>
          <w:szCs w:val="24"/>
          <w:lang w:eastAsia="ru-RU"/>
        </w:rPr>
        <w:t>Добавление II</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Содержание документации об оценке воздействия на окружающую среду</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Информация, подлежащая включению в документацию об оценке воздействия на окружающую среду в соответствии со Статьей 4, как минимум, содержит:</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a</w:t>
      </w:r>
      <w:r w:rsidRPr="00735D71">
        <w:rPr>
          <w:rFonts w:ascii="Arial" w:eastAsia="Times New Roman" w:hAnsi="Arial" w:cs="Arial"/>
          <w:color w:val="333333"/>
          <w:sz w:val="20"/>
          <w:szCs w:val="20"/>
          <w:lang w:eastAsia="ru-RU"/>
        </w:rPr>
        <w:t>) описание планируемой деятельности и ее цели;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lastRenderedPageBreak/>
        <w:t>b</w:t>
      </w:r>
      <w:r w:rsidRPr="00735D71">
        <w:rPr>
          <w:rFonts w:ascii="Arial" w:eastAsia="Times New Roman" w:hAnsi="Arial" w:cs="Arial"/>
          <w:color w:val="333333"/>
          <w:sz w:val="20"/>
          <w:szCs w:val="20"/>
          <w:lang w:eastAsia="ru-RU"/>
        </w:rPr>
        <w:t>) описание, при необходимости, разумных альтернатив (например, географического или технологического характера) планируемой деятельности, в том числе варианта отказа от деятельности;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c</w:t>
      </w:r>
      <w:r w:rsidRPr="00735D71">
        <w:rPr>
          <w:rFonts w:ascii="Arial" w:eastAsia="Times New Roman" w:hAnsi="Arial" w:cs="Arial"/>
          <w:color w:val="333333"/>
          <w:sz w:val="20"/>
          <w:szCs w:val="20"/>
          <w:lang w:eastAsia="ru-RU"/>
        </w:rPr>
        <w:t>) описание тех элементов окружающей среды, которые, вероятно, будут существенно затронуты планируемой деятельностью или ее альтернативными вариантами;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d</w:t>
      </w:r>
      <w:r w:rsidRPr="00735D71">
        <w:rPr>
          <w:rFonts w:ascii="Arial" w:eastAsia="Times New Roman" w:hAnsi="Arial" w:cs="Arial"/>
          <w:color w:val="333333"/>
          <w:sz w:val="20"/>
          <w:szCs w:val="20"/>
          <w:lang w:eastAsia="ru-RU"/>
        </w:rPr>
        <w:t>) описание возможных видов воздействия на окружающую среду планируемой деятельности и ее альтернативных вариантов и оценка их масштабов;</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e</w:t>
      </w:r>
      <w:r w:rsidRPr="00735D71">
        <w:rPr>
          <w:rFonts w:ascii="Arial" w:eastAsia="Times New Roman" w:hAnsi="Arial" w:cs="Arial"/>
          <w:color w:val="333333"/>
          <w:sz w:val="20"/>
          <w:szCs w:val="20"/>
          <w:lang w:eastAsia="ru-RU"/>
        </w:rPr>
        <w:t>) описание предохранительных мер, направленных на то, чтобы свести к минимуму вредное воздействие на окружающую среду;</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f</w:t>
      </w:r>
      <w:r w:rsidRPr="00735D71">
        <w:rPr>
          <w:rFonts w:ascii="Arial" w:eastAsia="Times New Roman" w:hAnsi="Arial" w:cs="Arial"/>
          <w:color w:val="333333"/>
          <w:sz w:val="20"/>
          <w:szCs w:val="20"/>
          <w:lang w:eastAsia="ru-RU"/>
        </w:rPr>
        <w:t>) конкретное указание на методы прогнозирования и лежащие в их основе исходные положения, а также соответствующие используемые данные об окружающей среде;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g</w:t>
      </w:r>
      <w:r w:rsidRPr="00735D71">
        <w:rPr>
          <w:rFonts w:ascii="Arial" w:eastAsia="Times New Roman" w:hAnsi="Arial" w:cs="Arial"/>
          <w:color w:val="333333"/>
          <w:sz w:val="20"/>
          <w:szCs w:val="20"/>
          <w:lang w:eastAsia="ru-RU"/>
        </w:rPr>
        <w:t>) выявление пробелов в знаниях и неопределенностей, которые были обнаружены при подготовке требуемой информации;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h</w:t>
      </w:r>
      <w:r w:rsidRPr="00735D71">
        <w:rPr>
          <w:rFonts w:ascii="Arial" w:eastAsia="Times New Roman" w:hAnsi="Arial" w:cs="Arial"/>
          <w:color w:val="333333"/>
          <w:sz w:val="20"/>
          <w:szCs w:val="20"/>
          <w:lang w:eastAsia="ru-RU"/>
        </w:rPr>
        <w:t>) при необходимости, краткое содержание программ мониторинга и управления и всех планов после проектного анализа; и</w:t>
      </w:r>
    </w:p>
    <w:p w:rsidR="00735D71" w:rsidRPr="00735D71" w:rsidRDefault="00735D71" w:rsidP="00735D71">
      <w:pPr>
        <w:spacing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i</w:t>
      </w:r>
      <w:r w:rsidRPr="00735D71">
        <w:rPr>
          <w:rFonts w:ascii="Arial" w:eastAsia="Times New Roman" w:hAnsi="Arial" w:cs="Arial"/>
          <w:color w:val="333333"/>
          <w:sz w:val="20"/>
          <w:szCs w:val="20"/>
          <w:lang w:eastAsia="ru-RU"/>
        </w:rPr>
        <w:t>) резюме нетехнического характера, при необходимости, с использованием визуальных средств представления материала (карт, графиков и т.д.).</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2" w:name="a3"/>
      <w:bookmarkEnd w:id="2"/>
      <w:r w:rsidRPr="00735D71">
        <w:rPr>
          <w:rFonts w:ascii="Arial" w:eastAsia="Times New Roman" w:hAnsi="Arial" w:cs="Arial"/>
          <w:color w:val="000000"/>
          <w:sz w:val="24"/>
          <w:szCs w:val="24"/>
          <w:lang w:eastAsia="ru-RU"/>
        </w:rPr>
        <w:t>Добавление III</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Общие критерии, помогающие в определении экологического значения видов деятельности, не включенных в Добавление I</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 При рассмотрении планируемых видов деятельности, в отношении которых применяются положения пункта 5 Статьи 2, заинтересованные Стороны могут изучать вопрос о том, может ли данный вид деятельности оказать значительное вредное трансграничное воздействие, в частности, на основании одного или нескольких перечисленных ниже критериев:</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a</w:t>
      </w:r>
      <w:r w:rsidRPr="00735D71">
        <w:rPr>
          <w:rFonts w:ascii="Arial" w:eastAsia="Times New Roman" w:hAnsi="Arial" w:cs="Arial"/>
          <w:color w:val="333333"/>
          <w:sz w:val="20"/>
          <w:szCs w:val="20"/>
          <w:lang w:eastAsia="ru-RU"/>
        </w:rPr>
        <w:t>) </w:t>
      </w:r>
      <w:r w:rsidRPr="00735D71">
        <w:rPr>
          <w:rFonts w:ascii="Arial" w:eastAsia="Times New Roman" w:hAnsi="Arial" w:cs="Arial"/>
          <w:i/>
          <w:iCs/>
          <w:color w:val="333333"/>
          <w:sz w:val="20"/>
          <w:szCs w:val="20"/>
          <w:lang w:eastAsia="ru-RU"/>
        </w:rPr>
        <w:t>Масштабы</w:t>
      </w:r>
      <w:r w:rsidRPr="00735D71">
        <w:rPr>
          <w:rFonts w:ascii="Arial" w:eastAsia="Times New Roman" w:hAnsi="Arial" w:cs="Arial"/>
          <w:color w:val="333333"/>
          <w:sz w:val="20"/>
          <w:szCs w:val="20"/>
          <w:lang w:eastAsia="ru-RU"/>
        </w:rPr>
        <w:t>: Планируемые виды деятельности, масштабы которых являются большими для данного типа деятельности;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b</w:t>
      </w:r>
      <w:r w:rsidRPr="00735D71">
        <w:rPr>
          <w:rFonts w:ascii="Arial" w:eastAsia="Times New Roman" w:hAnsi="Arial" w:cs="Arial"/>
          <w:color w:val="333333"/>
          <w:sz w:val="20"/>
          <w:szCs w:val="20"/>
          <w:lang w:eastAsia="ru-RU"/>
        </w:rPr>
        <w:t>) </w:t>
      </w:r>
      <w:r w:rsidRPr="00735D71">
        <w:rPr>
          <w:rFonts w:ascii="Arial" w:eastAsia="Times New Roman" w:hAnsi="Arial" w:cs="Arial"/>
          <w:i/>
          <w:iCs/>
          <w:color w:val="333333"/>
          <w:sz w:val="20"/>
          <w:szCs w:val="20"/>
          <w:lang w:eastAsia="ru-RU"/>
        </w:rPr>
        <w:t>Район</w:t>
      </w:r>
      <w:r w:rsidRPr="00735D71">
        <w:rPr>
          <w:rFonts w:ascii="Arial" w:eastAsia="Times New Roman" w:hAnsi="Arial" w:cs="Arial"/>
          <w:color w:val="333333"/>
          <w:sz w:val="20"/>
          <w:szCs w:val="20"/>
          <w:lang w:eastAsia="ru-RU"/>
        </w:rPr>
        <w:t>: Планируемые виды деятельности, которые осуществляются в особо чувствительных или важных с экологической точки зрения районах или в непосредственной близости от них (например, сильно увлажненные земли, определенные в рамках Рамсарской конвенции, национальные парки, природные заповедники, зоны, представляющие особый научный интерес, или памятники археологии, культуры или истории); а также планируемые виды деятельности в районах, в которых особенности планируемой хозяйственной деятельности могут оказывать значительное воздействие на население;</w:t>
      </w:r>
    </w:p>
    <w:p w:rsidR="00735D71" w:rsidRPr="00735D71" w:rsidRDefault="00735D71" w:rsidP="00735D71">
      <w:pPr>
        <w:spacing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c</w:t>
      </w:r>
      <w:r w:rsidRPr="00735D71">
        <w:rPr>
          <w:rFonts w:ascii="Arial" w:eastAsia="Times New Roman" w:hAnsi="Arial" w:cs="Arial"/>
          <w:color w:val="333333"/>
          <w:sz w:val="20"/>
          <w:szCs w:val="20"/>
          <w:lang w:eastAsia="ru-RU"/>
        </w:rPr>
        <w:t>) </w:t>
      </w:r>
      <w:r w:rsidRPr="00735D71">
        <w:rPr>
          <w:rFonts w:ascii="Arial" w:eastAsia="Times New Roman" w:hAnsi="Arial" w:cs="Arial"/>
          <w:i/>
          <w:iCs/>
          <w:color w:val="333333"/>
          <w:sz w:val="20"/>
          <w:szCs w:val="20"/>
          <w:lang w:eastAsia="ru-RU"/>
        </w:rPr>
        <w:t>Последствия</w:t>
      </w:r>
      <w:r w:rsidRPr="00735D71">
        <w:rPr>
          <w:rFonts w:ascii="Arial" w:eastAsia="Times New Roman" w:hAnsi="Arial" w:cs="Arial"/>
          <w:color w:val="333333"/>
          <w:sz w:val="20"/>
          <w:szCs w:val="20"/>
          <w:lang w:eastAsia="ru-RU"/>
        </w:rPr>
        <w:t>: Планируемые виды деятельности, оказывающие особенно сложное и потенциально вредное воздействие, включая такие виды воздействия, которые влекут за собой серьезные последствия для людей и ценных видов флоры и фауны и организмов, угрожают нынешнему или возможному использованию затрагиваемого района и приводят к возникновению нагрузки, превышающей уровень устойчивости среды к внешнему воздействию.</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2. С этой целью заинтересованные Стороны рассматривают планируемые виды деятельности, осуществляемые в непосредственной близости от международной границы, а также виды планируемой деятельности, осуществляемые в более отдаленных районах, которые могут оказывать значительное трансграничное воздействие на большом удалении от места развертывания хозяйственной деятельности.</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3" w:name="a4"/>
      <w:bookmarkEnd w:id="3"/>
      <w:r w:rsidRPr="00735D71">
        <w:rPr>
          <w:rFonts w:ascii="Arial" w:eastAsia="Times New Roman" w:hAnsi="Arial" w:cs="Arial"/>
          <w:color w:val="000000"/>
          <w:sz w:val="24"/>
          <w:szCs w:val="24"/>
          <w:lang w:eastAsia="ru-RU"/>
        </w:rPr>
        <w:t>Добавление IV</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Процедура запроса</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lastRenderedPageBreak/>
        <w:t>1. Запрашивающая Сторона или Стороны уведомляют секретариат о том, что она или они вносит(ят) вопрос о том, может ли какой-либо планируемый вид деятельности, включенный в Добавление I, оказывать значительное вредное трансграничное воздействие на рассмотрение комиссии по запросу, создаваемой в соответствии с положениями настоящего Добавления. В уведомлении указывается предмет запроса. Секретариат немедленно уведомляет все Стороны настоящей Конвенции об этом запросе.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2. Комиссия по запросу состоит из трех членов. Запрашивающая сторона и другая сторона, причастная к процедуре запроса, назначают по одному научному или техническому эксперту, и два назначенных таким образом эксперта назначают по обоюдному согласию третьего эксперта, который становится председателем комиссии по запросу. Последний не является гражданином ни одной из сторон, причастных к процедуре запроса, не проживает постоянно на территории ни одной из этих сторон, не состоит на службе этих сторон и не имел отношения к данному делу ни в каком ином качестве.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3. Если председатель комиссии по запросу не назначается в течение двух месяцев после назначения второго эксперта, то Исполнительный секретарь Европейской экономической комиссии по просьбе любой из сторон назначает председателя в течение следующих двух месяцев.</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4. Если одна из сторон, причастных к процедуре запроса, не назначает эксперта в течение одного месяца после получения от секретариата уведомления, то другая сторона может информировать об этом Исполнительного секретаря Европейской экономической комиссии, который назначает председателя комиссии по запросу в течение следующего двухмесячного периода. По назначении председателя комиссии по запросу просит сторону, не назначившую эксперта, сделать это в течение одного месяца. По истечении этого периода председатель соответственно информирует Исполнительного секретаря Европейской экономической комиссии, который назначает эксперта в течение следующего двухмесячного периода.</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5. Комиссия по запросу принимает свои собственные правила процедуры.</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6. Комиссия по запросу может предпринимать все соответствующие меры с целью осуществления своих функций.</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7. Стороны, причастные к процедуре запроса, содействуют работе комиссии по запросу и, в частности, используя все имеющиеся в их распоряжении средства:</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a</w:t>
      </w:r>
      <w:r w:rsidRPr="00735D71">
        <w:rPr>
          <w:rFonts w:ascii="Arial" w:eastAsia="Times New Roman" w:hAnsi="Arial" w:cs="Arial"/>
          <w:color w:val="333333"/>
          <w:sz w:val="20"/>
          <w:szCs w:val="20"/>
          <w:lang w:eastAsia="ru-RU"/>
        </w:rPr>
        <w:t>) предоставляют ей все соответствующие документы, условия и информацию; и</w:t>
      </w:r>
    </w:p>
    <w:p w:rsidR="00735D71" w:rsidRPr="00735D71" w:rsidRDefault="00735D71" w:rsidP="00735D71">
      <w:pPr>
        <w:spacing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b</w:t>
      </w:r>
      <w:r w:rsidRPr="00735D71">
        <w:rPr>
          <w:rFonts w:ascii="Arial" w:eastAsia="Times New Roman" w:hAnsi="Arial" w:cs="Arial"/>
          <w:color w:val="333333"/>
          <w:sz w:val="20"/>
          <w:szCs w:val="20"/>
          <w:lang w:eastAsia="ru-RU"/>
        </w:rPr>
        <w:t>) при необходимости предоставляют ей возможность вызывать свидетелей или экспертов и заслушивать их показания.</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8. Стороны и эксперты соблюдают конфиденциальность любой информации, полученной ими в конфиденциальном порядке в ходе работы комиссии по запросу.</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9. Если одна из сторон, причастных к процедуре запроса, не является в комиссию по запросу или не может представить свое дело, то другая сторона может просить комиссию по запросу продолжить разбирательство и завершить свою работу. Отсутствие одной из сторон в комиссии по запросу или неучастие одной из сторон в представлении своего дела не является препятствием для продолжения и завершения работы комиссии по запросу.</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10. Если комиссия по запросу вследствие особых обстоятельств дела не примет иного решения, то расходы комиссии по запросу, включая вознаграждение ее членов, стороны, причастные к процедуре запроса, делят между собой поровну. Комиссия по запросу ведет учет всех своих расходов и представляет сторонам окончательный отчет об этих расходах.</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11. Любая Сторона, которая имеет действительный интерес в предмете процедуры запроса и может быть затронута в результате вынесения мнения по данному делу, имеет право принять участие в разбирательстве с согласия комиссии по запросу.</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12. Решения комиссии по запросу по процедурным вопросам принимаются большинством голосов ее членов. Окончательное мнение комиссии по запросу отражает мнение большинства ее членов и включает любое особое мнение.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lastRenderedPageBreak/>
        <w:t>13. Комиссия по запросу представляет свое окончательное мнение в течение двух месяцев со дня своего образования, если только она не сочтет необходимым продлить этот срок на период, не превышающий двух месяцев.</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14. Окончательное мнение комиссии по запросу основывается на общепринятых научных принципах. Комиссия по запросу препровождает окончательное мнение сторонам, причастным к процедуре запроса, и секретариату.</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4" w:name="a5"/>
      <w:bookmarkEnd w:id="4"/>
      <w:r w:rsidRPr="00735D71">
        <w:rPr>
          <w:rFonts w:ascii="Arial" w:eastAsia="Times New Roman" w:hAnsi="Arial" w:cs="Arial"/>
          <w:color w:val="000000"/>
          <w:sz w:val="24"/>
          <w:szCs w:val="24"/>
          <w:lang w:eastAsia="ru-RU"/>
        </w:rPr>
        <w:t>Добавление V</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Послепроектный анализ</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Цели включают в себя:</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a</w:t>
      </w:r>
      <w:r w:rsidRPr="00735D71">
        <w:rPr>
          <w:rFonts w:ascii="Arial" w:eastAsia="Times New Roman" w:hAnsi="Arial" w:cs="Arial"/>
          <w:color w:val="333333"/>
          <w:sz w:val="20"/>
          <w:szCs w:val="20"/>
          <w:lang w:eastAsia="ru-RU"/>
        </w:rPr>
        <w:t>) контроль за соблюдением условий, изложенных в разрешении или оговоренных при утверждении данной деятельности, и эффективностью мер по уменьшению воздействия;</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b</w:t>
      </w:r>
      <w:r w:rsidRPr="00735D71">
        <w:rPr>
          <w:rFonts w:ascii="Arial" w:eastAsia="Times New Roman" w:hAnsi="Arial" w:cs="Arial"/>
          <w:color w:val="333333"/>
          <w:sz w:val="20"/>
          <w:szCs w:val="20"/>
          <w:lang w:eastAsia="ru-RU"/>
        </w:rPr>
        <w:t>) анализ вида воздействия в целях обеспечения соответствующего уровня управления и готовности к действиям в условиях неопределенности;</w:t>
      </w:r>
    </w:p>
    <w:p w:rsidR="00735D71" w:rsidRPr="00735D71" w:rsidRDefault="00735D71" w:rsidP="00735D71">
      <w:pPr>
        <w:spacing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c</w:t>
      </w:r>
      <w:r w:rsidRPr="00735D71">
        <w:rPr>
          <w:rFonts w:ascii="Arial" w:eastAsia="Times New Roman" w:hAnsi="Arial" w:cs="Arial"/>
          <w:color w:val="333333"/>
          <w:sz w:val="20"/>
          <w:szCs w:val="20"/>
          <w:lang w:eastAsia="ru-RU"/>
        </w:rPr>
        <w:t>) проверку прежних прогнозов, с тем чтобы использовать полученный опыт в будущем при осуществлении аналогичных видов деятельности.</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5" w:name="a6"/>
      <w:bookmarkEnd w:id="5"/>
      <w:r w:rsidRPr="00735D71">
        <w:rPr>
          <w:rFonts w:ascii="Arial" w:eastAsia="Times New Roman" w:hAnsi="Arial" w:cs="Arial"/>
          <w:color w:val="000000"/>
          <w:sz w:val="24"/>
          <w:szCs w:val="24"/>
          <w:lang w:eastAsia="ru-RU"/>
        </w:rPr>
        <w:t>Добавление VI</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Элементы двустороннего и многостороннего сотрудничества</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 Заинтересованные Стороны могут создавать при необходимости организационный механизм или расширять полномочия существующих организационных механизмов в рамках двусторонних и многосторонних соглашений, с тем чтобы обеспечить осуществление в полной мере настоящей Конвенции.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2. Двусторонние и многосторонние соглашения и другие договоренности могут включать:</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a</w:t>
      </w:r>
      <w:r w:rsidRPr="00735D71">
        <w:rPr>
          <w:rFonts w:ascii="Arial" w:eastAsia="Times New Roman" w:hAnsi="Arial" w:cs="Arial"/>
          <w:color w:val="333333"/>
          <w:sz w:val="20"/>
          <w:szCs w:val="20"/>
          <w:lang w:eastAsia="ru-RU"/>
        </w:rPr>
        <w:t>) любые дополнительные требования в отношении осуществления настоящей Конвенции с учетом конкретных условий, существующих в соответствующих субрегионах;</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b</w:t>
      </w:r>
      <w:r w:rsidRPr="00735D71">
        <w:rPr>
          <w:rFonts w:ascii="Arial" w:eastAsia="Times New Roman" w:hAnsi="Arial" w:cs="Arial"/>
          <w:color w:val="333333"/>
          <w:sz w:val="20"/>
          <w:szCs w:val="20"/>
          <w:lang w:eastAsia="ru-RU"/>
        </w:rPr>
        <w:t>) разработку организационных, административных и других договоренностей, которые должны быть основаны на принципах взаимности и эквивалентности;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c</w:t>
      </w:r>
      <w:r w:rsidRPr="00735D71">
        <w:rPr>
          <w:rFonts w:ascii="Arial" w:eastAsia="Times New Roman" w:hAnsi="Arial" w:cs="Arial"/>
          <w:color w:val="333333"/>
          <w:sz w:val="20"/>
          <w:szCs w:val="20"/>
          <w:lang w:eastAsia="ru-RU"/>
        </w:rPr>
        <w:t>) согласование своей политики и мер в области охраны окружающей среды с целью достижения в максимально возможной степени согласованности норм и методов, касающихся проведения оценки воздействия на окружающую среду;</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d</w:t>
      </w:r>
      <w:r w:rsidRPr="00735D71">
        <w:rPr>
          <w:rFonts w:ascii="Arial" w:eastAsia="Times New Roman" w:hAnsi="Arial" w:cs="Arial"/>
          <w:color w:val="333333"/>
          <w:sz w:val="20"/>
          <w:szCs w:val="20"/>
          <w:lang w:eastAsia="ru-RU"/>
        </w:rPr>
        <w:t>) разработку, совершенствование и/или согласование методов определения, измерения, прогнозирования и оценки воздействия и проведения послепроектного анализа;</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e</w:t>
      </w:r>
      <w:r w:rsidRPr="00735D71">
        <w:rPr>
          <w:rFonts w:ascii="Arial" w:eastAsia="Times New Roman" w:hAnsi="Arial" w:cs="Arial"/>
          <w:color w:val="333333"/>
          <w:sz w:val="20"/>
          <w:szCs w:val="20"/>
          <w:lang w:eastAsia="ru-RU"/>
        </w:rPr>
        <w:t>) разработку и/или совершенствование методов и программ сбора, анализа, хранения и своевременного распространения сопоставимых данных, касающихся качества окружающей среды, с целью обеспечения исходных данных для оценки воздействия на окружающую среду;</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f</w:t>
      </w:r>
      <w:r w:rsidRPr="00735D71">
        <w:rPr>
          <w:rFonts w:ascii="Arial" w:eastAsia="Times New Roman" w:hAnsi="Arial" w:cs="Arial"/>
          <w:color w:val="333333"/>
          <w:sz w:val="20"/>
          <w:szCs w:val="20"/>
          <w:lang w:eastAsia="ru-RU"/>
        </w:rPr>
        <w:t>) определение пороговых уровней и более конкретных критериев, характеризующих значение трансграничного воздействия, связанного с местом осуществления, характером и масштабами планируемой деятельности, в отношении которой в соответствии с положениями настоящей Конвенции применяется оценка воздействия на окружающую среду; и определение критических нагрузок трансграничного загрязнения;</w:t>
      </w:r>
    </w:p>
    <w:p w:rsidR="00735D71" w:rsidRPr="00735D71" w:rsidRDefault="00735D71" w:rsidP="00735D71">
      <w:pPr>
        <w:spacing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g</w:t>
      </w:r>
      <w:r w:rsidRPr="00735D71">
        <w:rPr>
          <w:rFonts w:ascii="Arial" w:eastAsia="Times New Roman" w:hAnsi="Arial" w:cs="Arial"/>
          <w:color w:val="333333"/>
          <w:sz w:val="20"/>
          <w:szCs w:val="20"/>
          <w:lang w:eastAsia="ru-RU"/>
        </w:rPr>
        <w:t>) при необходимости, совместное проведение оценки воздействия на окружающую среду, разработку совместных программ мониторинга, унификацию градуировки устройств мониторинга и согласование методологий для обеспечения совместимости получаемых данных и информации.</w:t>
      </w:r>
    </w:p>
    <w:p w:rsidR="00735D71" w:rsidRPr="00735D71" w:rsidRDefault="00735D71" w:rsidP="00735D71">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6" w:name="a7"/>
      <w:bookmarkEnd w:id="6"/>
      <w:r w:rsidRPr="00735D71">
        <w:rPr>
          <w:rFonts w:ascii="Arial" w:eastAsia="Times New Roman" w:hAnsi="Arial" w:cs="Arial"/>
          <w:color w:val="000000"/>
          <w:sz w:val="24"/>
          <w:szCs w:val="24"/>
          <w:lang w:eastAsia="ru-RU"/>
        </w:rPr>
        <w:lastRenderedPageBreak/>
        <w:t>Добавление VII</w:t>
      </w:r>
    </w:p>
    <w:p w:rsidR="00735D71" w:rsidRPr="00735D71" w:rsidRDefault="00735D71" w:rsidP="00735D71">
      <w:pPr>
        <w:spacing w:after="0" w:line="240" w:lineRule="auto"/>
        <w:outlineLvl w:val="3"/>
        <w:rPr>
          <w:rFonts w:ascii="Arial" w:eastAsia="Times New Roman" w:hAnsi="Arial" w:cs="Arial"/>
          <w:b/>
          <w:bCs/>
          <w:color w:val="333333"/>
          <w:sz w:val="21"/>
          <w:szCs w:val="21"/>
          <w:lang w:eastAsia="ru-RU"/>
        </w:rPr>
      </w:pPr>
      <w:r w:rsidRPr="00735D71">
        <w:rPr>
          <w:rFonts w:ascii="Arial" w:eastAsia="Times New Roman" w:hAnsi="Arial" w:cs="Arial"/>
          <w:b/>
          <w:bCs/>
          <w:color w:val="333333"/>
          <w:sz w:val="21"/>
          <w:szCs w:val="21"/>
          <w:lang w:eastAsia="ru-RU"/>
        </w:rPr>
        <w:t>Арбитраж</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 Сторона-истец или Стороны-истцы уведомляют секретариат о том, что Стороны договорились передать спор на арбитражное разбирательство в соответствии с пунктом 2 Статьи 5 настоящей Конвенции. В уведомлении указывается предмет арбитражного разбирательства, включая, в частности, Статьи настоящей Конвенции, относительно толкования или применения которых возник спор. Секретариат препровождает полученную таким образом информацию всем Сторонам настоящей Конвенции.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2. Арбитражный суд состоит из трех членов. Как Сторона-истец или Стороны-истцы, так и другая Сторона или другие Стороны, участвующие в споре, назначают по одному арбитру, и два назначенных таким образом арбитра по взаимному согласию назначают третьего арбитра, выполняющего функции председателя арбитражного суда. Последний не может быть гражданином одной из сторон спора и не может иметь своим обычным местом жительства территорию одной из этих сторон, не может находится у них на службе или в каком-либо ином качестве иметь отношения к этому делу.</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3. Если по истечении двух месяцев после назначения второго арбитра не назначен председатель арбитражного суда, то по просьбе любой из сторон спора Исполнительный секретарь Европейской экономической комиссии назначает его в течение следующих двух месяцев.</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4. Если одна из сторон спора не назначает арбитра в течение двух месяцев после получения просьбы, то другая сторона вправе информировать об этом Исполнительного секретаря Европейской экономической комиссии, который назначает председателя арбитражного суда в течение следующих двух месяцев. После своего назначения председатель арбитражного суда просит сторону, которая еще не назначила арбитра, сделать это в течение двух месяцев. По истечении такого срока председатель соответственно информирует Исполнительного секретаря Европейской экономической комиссии, который назначает этого арбитра в течение следующих двух месяцев.</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5. Арбитражный суд выносит свое решение в соответствии с международным правом и согласно положениям настоящей Конвенции.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6. Любой арбитражный суд, учреждаемый в соответствии с положениями настоящего добавления, разрабатывает свои собственные правила процедуры.</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7. Решения арбитражного суда как по процедурным вопросам, так и по вопросам существа принимаются большинством голосов его членов.</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8. Суд может принимать все надлежащие меры для установления фактов.</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9. Стороны спора оказывают содействие работе арбитражного суда и, в частности, используя все имеющиеся в их распоряжении средства:</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a</w:t>
      </w:r>
      <w:r w:rsidRPr="00735D71">
        <w:rPr>
          <w:rFonts w:ascii="Arial" w:eastAsia="Times New Roman" w:hAnsi="Arial" w:cs="Arial"/>
          <w:color w:val="333333"/>
          <w:sz w:val="20"/>
          <w:szCs w:val="20"/>
          <w:lang w:eastAsia="ru-RU"/>
        </w:rPr>
        <w:t>) предоставляют ему все соответствующие документы, условия и информацию; и</w:t>
      </w:r>
    </w:p>
    <w:p w:rsidR="00735D71" w:rsidRPr="00735D71" w:rsidRDefault="00735D71" w:rsidP="00735D71">
      <w:pPr>
        <w:spacing w:line="240" w:lineRule="auto"/>
        <w:jc w:val="both"/>
        <w:rPr>
          <w:rFonts w:ascii="Arial" w:eastAsia="Times New Roman" w:hAnsi="Arial" w:cs="Arial"/>
          <w:color w:val="333333"/>
          <w:sz w:val="20"/>
          <w:szCs w:val="20"/>
          <w:lang w:eastAsia="ru-RU"/>
        </w:rPr>
      </w:pPr>
      <w:r w:rsidRPr="00735D71">
        <w:rPr>
          <w:rFonts w:ascii="Arial" w:eastAsia="Times New Roman" w:hAnsi="Arial" w:cs="Arial"/>
          <w:i/>
          <w:iCs/>
          <w:color w:val="333333"/>
          <w:sz w:val="20"/>
          <w:szCs w:val="20"/>
          <w:lang w:eastAsia="ru-RU"/>
        </w:rPr>
        <w:t>b</w:t>
      </w:r>
      <w:r w:rsidRPr="00735D71">
        <w:rPr>
          <w:rFonts w:ascii="Arial" w:eastAsia="Times New Roman" w:hAnsi="Arial" w:cs="Arial"/>
          <w:color w:val="333333"/>
          <w:sz w:val="20"/>
          <w:szCs w:val="20"/>
          <w:lang w:eastAsia="ru-RU"/>
        </w:rPr>
        <w:t>) при необходимости предоставляют ему возможность вызывать свидетелей или экспертов и заслушивать их показания.</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10. Стороны и члены арбитражного суда соблюдают конфиденциальность любой информации, получаемой ими в конфиденциальном порядке в ходе разбирательства в арбитражном суде.</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11. Арбитражный суд может по просьбе одной из сторон рекомендовать принятие временных мер защиты.</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12. Если одна из сторон спора не является в арбитражный суд или не участвует в разбирательстве своего дела, то другая сторона может просить суд продолжить разбирательство и вынести свое окончательное решение. Отсутствие одной из сторон в суде или неучастие одной из сторон в разбирательстве дела не является препятствием для разбирательства. Перед вынесением окончательного решения арбитражный суд должен удостовериться в фактической и юридической обоснованности иска.</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lastRenderedPageBreak/>
        <w:t>13. Арбитражный суд может заслушивать встречные иски, возникающие непосредственно из существа спора, и выносить по ним решения.</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14. Если только арбитражный суд не примет иного решения, исходя из конкретных обстоятельств дела, то судебные издержки, включая оплату услуг членов суда, стороны спора делят между собой поровну. Суд регистрирует все свои расходы и представляет сторонам окончательный отчет об этих расходах.</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15. Любая Сторона настоящей Конвенции, которая имеет в предмете спора интерес правового характера и может быть затронута в результате решения по данному делу, имеет право принять участие в разбирательстве с согласия суда.</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16. Арбитражный суд выносит свое решение в течение пяти месяцев после даты своего учреждения, если только он не сочтет необходимым продлить этот срок на период, не превышающий пяти месяцев.</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17. Решение арбитражного суда сопровождается объяснением причин. Решение его является окончательным и обязательным для всех сторон спора. Арбитражный суд доводит свое решение до сведения сторон спора и секретариата. Секретариат направляет полученную информацию всем Сторонам настоящей Конвенции.</w:t>
      </w:r>
    </w:p>
    <w:p w:rsidR="00735D71" w:rsidRPr="00735D71" w:rsidRDefault="00735D71" w:rsidP="00735D71">
      <w:pPr>
        <w:spacing w:after="240" w:line="240" w:lineRule="auto"/>
        <w:jc w:val="both"/>
        <w:rPr>
          <w:rFonts w:ascii="Arial" w:eastAsia="Times New Roman" w:hAnsi="Arial" w:cs="Arial"/>
          <w:color w:val="333333"/>
          <w:sz w:val="20"/>
          <w:szCs w:val="20"/>
          <w:lang w:eastAsia="ru-RU"/>
        </w:rPr>
      </w:pPr>
      <w:r w:rsidRPr="00735D71">
        <w:rPr>
          <w:rFonts w:ascii="Arial" w:eastAsia="Times New Roman" w:hAnsi="Arial" w:cs="Arial"/>
          <w:color w:val="333333"/>
          <w:sz w:val="20"/>
          <w:szCs w:val="20"/>
          <w:lang w:eastAsia="ru-RU"/>
        </w:rPr>
        <w:t>18. Любой спор, который может возникнуть между сторонами относительно толкования или выполнения решения суда, может быть передан любой стороной в арбитражный суд, который вынес это решение, или — при невозможности воспользоваться услугами последнего — в другой суд, создаваемый с этой целью тем же образом, что и первый.</w:t>
      </w:r>
    </w:p>
    <w:p w:rsidR="001447B7" w:rsidRDefault="001447B7">
      <w:bookmarkStart w:id="7" w:name="_GoBack"/>
      <w:bookmarkEnd w:id="7"/>
    </w:p>
    <w:sectPr w:rsidR="00144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71"/>
    <w:rsid w:val="001447B7"/>
    <w:rsid w:val="00735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35D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35D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35D7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5D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5D7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35D71"/>
    <w:rPr>
      <w:rFonts w:ascii="Times New Roman" w:eastAsia="Times New Roman" w:hAnsi="Times New Roman" w:cs="Times New Roman"/>
      <w:b/>
      <w:bCs/>
      <w:sz w:val="24"/>
      <w:szCs w:val="24"/>
      <w:lang w:eastAsia="ru-RU"/>
    </w:rPr>
  </w:style>
  <w:style w:type="paragraph" w:customStyle="1" w:styleId="info">
    <w:name w:val="info"/>
    <w:basedOn w:val="a"/>
    <w:rsid w:val="00735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35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35D71"/>
    <w:rPr>
      <w:i/>
      <w:iCs/>
    </w:rPr>
  </w:style>
  <w:style w:type="character" w:customStyle="1" w:styleId="apple-converted-space">
    <w:name w:val="apple-converted-space"/>
    <w:basedOn w:val="a0"/>
    <w:rsid w:val="00735D71"/>
  </w:style>
  <w:style w:type="character" w:styleId="a5">
    <w:name w:val="Hyperlink"/>
    <w:basedOn w:val="a0"/>
    <w:uiPriority w:val="99"/>
    <w:semiHidden/>
    <w:unhideWhenUsed/>
    <w:rsid w:val="00735D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35D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35D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35D7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5D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5D7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35D71"/>
    <w:rPr>
      <w:rFonts w:ascii="Times New Roman" w:eastAsia="Times New Roman" w:hAnsi="Times New Roman" w:cs="Times New Roman"/>
      <w:b/>
      <w:bCs/>
      <w:sz w:val="24"/>
      <w:szCs w:val="24"/>
      <w:lang w:eastAsia="ru-RU"/>
    </w:rPr>
  </w:style>
  <w:style w:type="paragraph" w:customStyle="1" w:styleId="info">
    <w:name w:val="info"/>
    <w:basedOn w:val="a"/>
    <w:rsid w:val="00735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35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35D71"/>
    <w:rPr>
      <w:i/>
      <w:iCs/>
    </w:rPr>
  </w:style>
  <w:style w:type="character" w:customStyle="1" w:styleId="apple-converted-space">
    <w:name w:val="apple-converted-space"/>
    <w:basedOn w:val="a0"/>
    <w:rsid w:val="00735D71"/>
  </w:style>
  <w:style w:type="character" w:styleId="a5">
    <w:name w:val="Hyperlink"/>
    <w:basedOn w:val="a0"/>
    <w:uiPriority w:val="99"/>
    <w:semiHidden/>
    <w:unhideWhenUsed/>
    <w:rsid w:val="00735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234212">
      <w:bodyDiv w:val="1"/>
      <w:marLeft w:val="0"/>
      <w:marRight w:val="0"/>
      <w:marTop w:val="0"/>
      <w:marBottom w:val="0"/>
      <w:divBdr>
        <w:top w:val="none" w:sz="0" w:space="0" w:color="auto"/>
        <w:left w:val="none" w:sz="0" w:space="0" w:color="auto"/>
        <w:bottom w:val="none" w:sz="0" w:space="0" w:color="auto"/>
        <w:right w:val="none" w:sz="0" w:space="0" w:color="auto"/>
      </w:divBdr>
      <w:divsChild>
        <w:div w:id="1621186454">
          <w:blockQuote w:val="1"/>
          <w:marLeft w:val="240"/>
          <w:marRight w:val="240"/>
          <w:marTop w:val="240"/>
          <w:marBottom w:val="240"/>
          <w:divBdr>
            <w:top w:val="none" w:sz="0" w:space="0" w:color="auto"/>
            <w:left w:val="none" w:sz="0" w:space="0" w:color="auto"/>
            <w:bottom w:val="none" w:sz="0" w:space="0" w:color="auto"/>
            <w:right w:val="none" w:sz="0" w:space="0" w:color="auto"/>
          </w:divBdr>
        </w:div>
        <w:div w:id="827785983">
          <w:blockQuote w:val="1"/>
          <w:marLeft w:val="240"/>
          <w:marRight w:val="240"/>
          <w:marTop w:val="240"/>
          <w:marBottom w:val="240"/>
          <w:divBdr>
            <w:top w:val="none" w:sz="0" w:space="0" w:color="auto"/>
            <w:left w:val="none" w:sz="0" w:space="0" w:color="auto"/>
            <w:bottom w:val="none" w:sz="0" w:space="0" w:color="auto"/>
            <w:right w:val="none" w:sz="0" w:space="0" w:color="auto"/>
          </w:divBdr>
        </w:div>
        <w:div w:id="22168132">
          <w:blockQuote w:val="1"/>
          <w:marLeft w:val="240"/>
          <w:marRight w:val="240"/>
          <w:marTop w:val="240"/>
          <w:marBottom w:val="240"/>
          <w:divBdr>
            <w:top w:val="none" w:sz="0" w:space="0" w:color="auto"/>
            <w:left w:val="none" w:sz="0" w:space="0" w:color="auto"/>
            <w:bottom w:val="none" w:sz="0" w:space="0" w:color="auto"/>
            <w:right w:val="none" w:sz="0" w:space="0" w:color="auto"/>
          </w:divBdr>
        </w:div>
        <w:div w:id="1257321950">
          <w:blockQuote w:val="1"/>
          <w:marLeft w:val="240"/>
          <w:marRight w:val="240"/>
          <w:marTop w:val="240"/>
          <w:marBottom w:val="240"/>
          <w:divBdr>
            <w:top w:val="none" w:sz="0" w:space="0" w:color="auto"/>
            <w:left w:val="none" w:sz="0" w:space="0" w:color="auto"/>
            <w:bottom w:val="none" w:sz="0" w:space="0" w:color="auto"/>
            <w:right w:val="none" w:sz="0" w:space="0" w:color="auto"/>
          </w:divBdr>
        </w:div>
        <w:div w:id="654650487">
          <w:blockQuote w:val="1"/>
          <w:marLeft w:val="240"/>
          <w:marRight w:val="240"/>
          <w:marTop w:val="240"/>
          <w:marBottom w:val="240"/>
          <w:divBdr>
            <w:top w:val="none" w:sz="0" w:space="0" w:color="auto"/>
            <w:left w:val="none" w:sz="0" w:space="0" w:color="auto"/>
            <w:bottom w:val="none" w:sz="0" w:space="0" w:color="auto"/>
            <w:right w:val="none" w:sz="0" w:space="0" w:color="auto"/>
          </w:divBdr>
        </w:div>
        <w:div w:id="1472938598">
          <w:blockQuote w:val="1"/>
          <w:marLeft w:val="240"/>
          <w:marRight w:val="240"/>
          <w:marTop w:val="240"/>
          <w:marBottom w:val="240"/>
          <w:divBdr>
            <w:top w:val="none" w:sz="0" w:space="0" w:color="auto"/>
            <w:left w:val="none" w:sz="0" w:space="0" w:color="auto"/>
            <w:bottom w:val="none" w:sz="0" w:space="0" w:color="auto"/>
            <w:right w:val="none" w:sz="0" w:space="0" w:color="auto"/>
          </w:divBdr>
        </w:div>
        <w:div w:id="1573347423">
          <w:blockQuote w:val="1"/>
          <w:marLeft w:val="240"/>
          <w:marRight w:val="240"/>
          <w:marTop w:val="240"/>
          <w:marBottom w:val="240"/>
          <w:divBdr>
            <w:top w:val="none" w:sz="0" w:space="0" w:color="auto"/>
            <w:left w:val="none" w:sz="0" w:space="0" w:color="auto"/>
            <w:bottom w:val="none" w:sz="0" w:space="0" w:color="auto"/>
            <w:right w:val="none" w:sz="0" w:space="0" w:color="auto"/>
          </w:divBdr>
        </w:div>
        <w:div w:id="1225336844">
          <w:blockQuote w:val="1"/>
          <w:marLeft w:val="240"/>
          <w:marRight w:val="240"/>
          <w:marTop w:val="240"/>
          <w:marBottom w:val="240"/>
          <w:divBdr>
            <w:top w:val="none" w:sz="0" w:space="0" w:color="auto"/>
            <w:left w:val="none" w:sz="0" w:space="0" w:color="auto"/>
            <w:bottom w:val="none" w:sz="0" w:space="0" w:color="auto"/>
            <w:right w:val="none" w:sz="0" w:space="0" w:color="auto"/>
          </w:divBdr>
        </w:div>
        <w:div w:id="1633319848">
          <w:blockQuote w:val="1"/>
          <w:marLeft w:val="240"/>
          <w:marRight w:val="240"/>
          <w:marTop w:val="240"/>
          <w:marBottom w:val="240"/>
          <w:divBdr>
            <w:top w:val="none" w:sz="0" w:space="0" w:color="auto"/>
            <w:left w:val="none" w:sz="0" w:space="0" w:color="auto"/>
            <w:bottom w:val="none" w:sz="0" w:space="0" w:color="auto"/>
            <w:right w:val="none" w:sz="0" w:space="0" w:color="auto"/>
          </w:divBdr>
        </w:div>
        <w:div w:id="1978073833">
          <w:blockQuote w:val="1"/>
          <w:marLeft w:val="240"/>
          <w:marRight w:val="240"/>
          <w:marTop w:val="240"/>
          <w:marBottom w:val="240"/>
          <w:divBdr>
            <w:top w:val="none" w:sz="0" w:space="0" w:color="auto"/>
            <w:left w:val="none" w:sz="0" w:space="0" w:color="auto"/>
            <w:bottom w:val="none" w:sz="0" w:space="0" w:color="auto"/>
            <w:right w:val="none" w:sz="0" w:space="0" w:color="auto"/>
          </w:divBdr>
        </w:div>
        <w:div w:id="799618108">
          <w:blockQuote w:val="1"/>
          <w:marLeft w:val="240"/>
          <w:marRight w:val="240"/>
          <w:marTop w:val="240"/>
          <w:marBottom w:val="240"/>
          <w:divBdr>
            <w:top w:val="none" w:sz="0" w:space="0" w:color="auto"/>
            <w:left w:val="none" w:sz="0" w:space="0" w:color="auto"/>
            <w:bottom w:val="none" w:sz="0" w:space="0" w:color="auto"/>
            <w:right w:val="none" w:sz="0" w:space="0" w:color="auto"/>
          </w:divBdr>
        </w:div>
        <w:div w:id="1797605368">
          <w:blockQuote w:val="1"/>
          <w:marLeft w:val="240"/>
          <w:marRight w:val="240"/>
          <w:marTop w:val="240"/>
          <w:marBottom w:val="240"/>
          <w:divBdr>
            <w:top w:val="none" w:sz="0" w:space="0" w:color="auto"/>
            <w:left w:val="none" w:sz="0" w:space="0" w:color="auto"/>
            <w:bottom w:val="none" w:sz="0" w:space="0" w:color="auto"/>
            <w:right w:val="none" w:sz="0" w:space="0" w:color="auto"/>
          </w:divBdr>
        </w:div>
        <w:div w:id="404572411">
          <w:blockQuote w:val="1"/>
          <w:marLeft w:val="240"/>
          <w:marRight w:val="240"/>
          <w:marTop w:val="240"/>
          <w:marBottom w:val="240"/>
          <w:divBdr>
            <w:top w:val="none" w:sz="0" w:space="0" w:color="auto"/>
            <w:left w:val="none" w:sz="0" w:space="0" w:color="auto"/>
            <w:bottom w:val="none" w:sz="0" w:space="0" w:color="auto"/>
            <w:right w:val="none" w:sz="0" w:space="0" w:color="auto"/>
          </w:divBdr>
        </w:div>
        <w:div w:id="178172769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ga/unep/" TargetMode="External"/><Relationship Id="rId13" Type="http://schemas.openxmlformats.org/officeDocument/2006/relationships/hyperlink" Target="http://www.un.org/ru/documents/decl_conv/conventions/env_assessment.shtml" TargetMode="External"/><Relationship Id="rId18" Type="http://schemas.openxmlformats.org/officeDocument/2006/relationships/hyperlink" Target="http://www.un.org/ru/documents/decl_conv/conventions/env_assessment.shtml" TargetMode="External"/><Relationship Id="rId3" Type="http://schemas.openxmlformats.org/officeDocument/2006/relationships/settings" Target="settings.xml"/><Relationship Id="rId7" Type="http://schemas.openxmlformats.org/officeDocument/2006/relationships/hyperlink" Target="http://www.un.org/ru/ecosoc/unece/" TargetMode="External"/><Relationship Id="rId12" Type="http://schemas.openxmlformats.org/officeDocument/2006/relationships/hyperlink" Target="http://www.un.org/ru/documents/decl_conv/conventions/env_assessment.shtml" TargetMode="External"/><Relationship Id="rId17" Type="http://schemas.openxmlformats.org/officeDocument/2006/relationships/hyperlink" Target="http://www.un.org/ru/documents/ods.asp?m=E/RES/36(IV)" TargetMode="External"/><Relationship Id="rId2" Type="http://schemas.microsoft.com/office/2007/relationships/stylesWithEffects" Target="stylesWithEffects.xml"/><Relationship Id="rId16" Type="http://schemas.openxmlformats.org/officeDocument/2006/relationships/hyperlink" Target="http://www.un.org/ru/documents/decl_conv/conventions/env_assessment.s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n.org/ru/documents/decl_conv/declarations/declarathenv.shtml" TargetMode="External"/><Relationship Id="rId11" Type="http://schemas.openxmlformats.org/officeDocument/2006/relationships/hyperlink" Target="http://www.un.org/ru/documents/decl_conv/conventions/env_assessment.shtml" TargetMode="External"/><Relationship Id="rId5" Type="http://schemas.openxmlformats.org/officeDocument/2006/relationships/hyperlink" Target="http://www.un.org/ru/documents/charter/" TargetMode="External"/><Relationship Id="rId15" Type="http://schemas.openxmlformats.org/officeDocument/2006/relationships/hyperlink" Target="http://www.un.org/ru/icj/" TargetMode="External"/><Relationship Id="rId10" Type="http://schemas.openxmlformats.org/officeDocument/2006/relationships/hyperlink" Target="http://www.un.org/ru/documents/decl_conv/conventions/env_assessmen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rg/ru/documents/decl_conv/conventions/env_assessment.shtml" TargetMode="External"/><Relationship Id="rId14" Type="http://schemas.openxmlformats.org/officeDocument/2006/relationships/hyperlink" Target="http://www.un.org/ru/documents/decl_conv/conventions/env_assessment.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6928</Words>
  <Characters>39495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2014-04-04T07:29:00Z</dcterms:created>
  <dcterms:modified xsi:type="dcterms:W3CDTF">2014-04-04T07:30:00Z</dcterms:modified>
</cp:coreProperties>
</file>